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9E776" w14:textId="4113AAAE" w:rsidR="00707B64" w:rsidRDefault="00707B64">
      <w:pPr>
        <w:spacing w:after="160" w:line="259" w:lineRule="auto"/>
      </w:pPr>
      <w:bookmarkStart w:id="0" w:name="_GoBack"/>
      <w:bookmarkEnd w:id="0"/>
      <w:r>
        <w:t>REVISION FOLLOWING REVIEWER FEEDBACK</w:t>
      </w:r>
    </w:p>
    <w:p w14:paraId="2A87B6B2" w14:textId="33788A34" w:rsidR="00707B64" w:rsidRDefault="00707B64">
      <w:pPr>
        <w:spacing w:after="160" w:line="259" w:lineRule="auto"/>
      </w:pPr>
    </w:p>
    <w:p w14:paraId="5FB4C389" w14:textId="77777777" w:rsidR="00707B64" w:rsidRDefault="00707B64" w:rsidP="00707B64">
      <w:pPr>
        <w:pStyle w:val="Articletitle"/>
      </w:pPr>
      <w:r>
        <w:t xml:space="preserve">Reaching in-service primary teachers with research innovations: the role of dissemination events in stimulating download activity. </w:t>
      </w:r>
    </w:p>
    <w:p w14:paraId="325AC7EE" w14:textId="77777777" w:rsidR="00707B64" w:rsidRDefault="00707B64">
      <w:pPr>
        <w:spacing w:after="160" w:line="259" w:lineRule="auto"/>
      </w:pPr>
    </w:p>
    <w:p w14:paraId="7DF3DF37" w14:textId="2678657B" w:rsidR="00707B64" w:rsidRDefault="00707B64">
      <w:pPr>
        <w:spacing w:after="160" w:line="259" w:lineRule="auto"/>
      </w:pPr>
      <w:r>
        <w:t xml:space="preserve">Contact details for corresponding author: </w:t>
      </w:r>
    </w:p>
    <w:p w14:paraId="6EB17F57" w14:textId="2A6F1715" w:rsidR="00707B64" w:rsidRDefault="00707B64">
      <w:pPr>
        <w:spacing w:after="160" w:line="259" w:lineRule="auto"/>
      </w:pPr>
      <w:r>
        <w:t xml:space="preserve">Isabel Hopwood-Stephens, Institute for Education, Bath Spa University, UK. </w:t>
      </w:r>
    </w:p>
    <w:p w14:paraId="2A977290" w14:textId="2A24FF0C" w:rsidR="00707B64" w:rsidRDefault="00440CC5">
      <w:pPr>
        <w:spacing w:after="160" w:line="259" w:lineRule="auto"/>
      </w:pPr>
      <w:hyperlink r:id="rId9" w:history="1">
        <w:r w:rsidR="00707B64" w:rsidRPr="00A80A8B">
          <w:rPr>
            <w:rStyle w:val="Hyperlink"/>
          </w:rPr>
          <w:t>i.hopwood-stephens@bathspa.ac.uk</w:t>
        </w:r>
      </w:hyperlink>
    </w:p>
    <w:p w14:paraId="48E379FB" w14:textId="77777777" w:rsidR="00707B64" w:rsidRDefault="00707B64">
      <w:pPr>
        <w:spacing w:after="160" w:line="259" w:lineRule="auto"/>
        <w:rPr>
          <w:b/>
          <w:sz w:val="28"/>
        </w:rPr>
      </w:pPr>
    </w:p>
    <w:p w14:paraId="4414FE4E" w14:textId="77777777" w:rsidR="00707B64" w:rsidRDefault="00707B64">
      <w:pPr>
        <w:spacing w:after="160" w:line="259" w:lineRule="auto"/>
        <w:rPr>
          <w:b/>
          <w:sz w:val="28"/>
        </w:rPr>
      </w:pPr>
      <w:r>
        <w:br w:type="page"/>
      </w:r>
    </w:p>
    <w:p w14:paraId="3683906B" w14:textId="68594766" w:rsidR="00E15629" w:rsidRDefault="00397F7A" w:rsidP="009321B2">
      <w:pPr>
        <w:pStyle w:val="Articletitle"/>
      </w:pPr>
      <w:r>
        <w:lastRenderedPageBreak/>
        <w:t>Re</w:t>
      </w:r>
      <w:r w:rsidR="00302AA3">
        <w:t>aching in-service primary teachers with research innovations</w:t>
      </w:r>
      <w:r>
        <w:t>: the role of dissemination events</w:t>
      </w:r>
      <w:r w:rsidR="00302AA3">
        <w:t xml:space="preserve"> in stimulating download activity</w:t>
      </w:r>
      <w:r>
        <w:t xml:space="preserve">. </w:t>
      </w:r>
    </w:p>
    <w:p w14:paraId="7048352E" w14:textId="77777777" w:rsidR="00E15629" w:rsidRDefault="00E15629" w:rsidP="00E15629"/>
    <w:p w14:paraId="1D2D1D86" w14:textId="21FB5E50" w:rsidR="00E15629" w:rsidRPr="00677E67" w:rsidRDefault="00E15629" w:rsidP="009321B2">
      <w:pPr>
        <w:pStyle w:val="Abstract"/>
      </w:pPr>
      <w:r w:rsidRPr="00677E67">
        <w:t>ABSTRACT</w:t>
      </w:r>
    </w:p>
    <w:p w14:paraId="66D2623D" w14:textId="744270E2" w:rsidR="00E15629" w:rsidRDefault="005A6E8D" w:rsidP="009321B2">
      <w:pPr>
        <w:pStyle w:val="Abstract"/>
      </w:pPr>
      <w:r>
        <w:t>E</w:t>
      </w:r>
      <w:r w:rsidR="00B2516E">
        <w:t xml:space="preserve">ducation </w:t>
      </w:r>
      <w:r>
        <w:t>researchers want</w:t>
      </w:r>
      <w:r w:rsidR="00BC606B">
        <w:t xml:space="preserve"> to influence classroom</w:t>
      </w:r>
      <w:r w:rsidR="00B2516E">
        <w:t xml:space="preserve"> practice, </w:t>
      </w:r>
      <w:r>
        <w:t xml:space="preserve">but </w:t>
      </w:r>
      <w:r w:rsidR="00BC606B">
        <w:t>i</w:t>
      </w:r>
      <w:r w:rsidR="00E15629">
        <w:t xml:space="preserve">n-service primary teachers </w:t>
      </w:r>
      <w:r w:rsidR="004C5F2F">
        <w:t xml:space="preserve">are </w:t>
      </w:r>
      <w:r w:rsidR="00E15629">
        <w:t xml:space="preserve">hard </w:t>
      </w:r>
      <w:r w:rsidR="00BC606B">
        <w:t>to reach. Thus</w:t>
      </w:r>
      <w:r w:rsidR="00E15629" w:rsidRPr="004C5F2F">
        <w:t>,</w:t>
      </w:r>
      <w:r w:rsidR="00E15629">
        <w:t xml:space="preserve"> many researchers disseminate their innovations online. Dissemination by event </w:t>
      </w:r>
      <w:r>
        <w:t>may</w:t>
      </w:r>
      <w:r w:rsidR="00E15629">
        <w:t xml:space="preserve"> be </w:t>
      </w:r>
      <w:r w:rsidR="00CE6D21">
        <w:t xml:space="preserve">a </w:t>
      </w:r>
      <w:r w:rsidR="00E15629">
        <w:t>more effective</w:t>
      </w:r>
      <w:r w:rsidR="00CE6D21">
        <w:t xml:space="preserve"> means</w:t>
      </w:r>
      <w:r w:rsidR="00BC606B">
        <w:t>, but l</w:t>
      </w:r>
      <w:r w:rsidR="00E15629">
        <w:t xml:space="preserve">ittle is known about </w:t>
      </w:r>
      <w:r w:rsidR="00CE6D21">
        <w:t>its relative</w:t>
      </w:r>
      <w:r w:rsidR="00E15629">
        <w:t xml:space="preserve"> value in a</w:t>
      </w:r>
      <w:r w:rsidR="00BC606B">
        <w:t xml:space="preserve"> dissemination strategy</w:t>
      </w:r>
      <w:r w:rsidR="00E15629">
        <w:t>, nor potential influence up</w:t>
      </w:r>
      <w:r w:rsidR="00BC606B">
        <w:t>on</w:t>
      </w:r>
      <w:r w:rsidR="00E15629">
        <w:t xml:space="preserve"> </w:t>
      </w:r>
      <w:r w:rsidR="00F06DA0">
        <w:t xml:space="preserve">research </w:t>
      </w:r>
      <w:r w:rsidR="00E15629">
        <w:t>innovation downloads.</w:t>
      </w:r>
    </w:p>
    <w:p w14:paraId="626F1C59" w14:textId="3E10EB54" w:rsidR="00E15629" w:rsidRDefault="00E15629" w:rsidP="009321B2">
      <w:pPr>
        <w:pStyle w:val="Abstract"/>
      </w:pPr>
      <w:r>
        <w:t>This quantitative</w:t>
      </w:r>
      <w:r w:rsidR="00732DDB">
        <w:t xml:space="preserve"> </w:t>
      </w:r>
      <w:r>
        <w:t xml:space="preserve">study analysed the influence of dissemination events on downloads of a research innovation called the </w:t>
      </w:r>
      <w:r w:rsidR="00EC1704">
        <w:t>TAPS Pyramid</w:t>
      </w:r>
      <w:r w:rsidR="004C5F2F">
        <w:t xml:space="preserve"> over one year</w:t>
      </w:r>
      <w:r>
        <w:t>. The location, size and date for dissemination events were mapped against location data for downloads during the same time period.</w:t>
      </w:r>
      <w:r w:rsidR="009B1B40">
        <w:t xml:space="preserve"> </w:t>
      </w:r>
      <w:r w:rsidR="00801310" w:rsidRPr="00801310">
        <w:t>Downloads were significantly higher in regions where dissemi</w:t>
      </w:r>
      <w:r w:rsidR="00BC606B">
        <w:t>nation events were held and</w:t>
      </w:r>
      <w:r w:rsidR="00801310" w:rsidRPr="00801310">
        <w:t xml:space="preserve"> positively correlated with diss</w:t>
      </w:r>
      <w:r w:rsidR="00EC4C94">
        <w:t>emination event frequency</w:t>
      </w:r>
      <w:r w:rsidR="00EC4C94" w:rsidRPr="007C32ED">
        <w:t>.</w:t>
      </w:r>
      <w:r w:rsidR="00136AF0">
        <w:t xml:space="preserve"> Event size was not found to be significant.</w:t>
      </w:r>
      <w:r w:rsidR="00EC4C94" w:rsidRPr="007C32ED">
        <w:t xml:space="preserve"> </w:t>
      </w:r>
    </w:p>
    <w:p w14:paraId="5B9F7F9C" w14:textId="282ECC7F" w:rsidR="00E15629" w:rsidRDefault="00136AF0" w:rsidP="009321B2">
      <w:pPr>
        <w:pStyle w:val="Abstract"/>
      </w:pPr>
      <w:r>
        <w:t>By demonstrating the value</w:t>
      </w:r>
      <w:r w:rsidR="00E15629">
        <w:t xml:space="preserve"> of </w:t>
      </w:r>
      <w:r w:rsidR="00213296">
        <w:t>dissemination</w:t>
      </w:r>
      <w:r w:rsidR="0033316E" w:rsidRPr="0033316E">
        <w:t xml:space="preserve"> events </w:t>
      </w:r>
      <w:r w:rsidR="0033316E">
        <w:t xml:space="preserve">in </w:t>
      </w:r>
      <w:r w:rsidR="00302AA3">
        <w:t>stimulating downloads of</w:t>
      </w:r>
      <w:r w:rsidR="0033316E">
        <w:t xml:space="preserve"> education</w:t>
      </w:r>
      <w:r w:rsidR="00302AA3">
        <w:t>al</w:t>
      </w:r>
      <w:r w:rsidR="0033316E">
        <w:t xml:space="preserve"> research</w:t>
      </w:r>
      <w:r w:rsidR="00302AA3">
        <w:t xml:space="preserve"> innovations</w:t>
      </w:r>
      <w:r w:rsidR="009077F3">
        <w:t xml:space="preserve"> online</w:t>
      </w:r>
      <w:r>
        <w:t>, these results also show the centrality of social learning opportunities to a successful bimodal dissemination strategy.</w:t>
      </w:r>
      <w:r w:rsidR="00F12AFA">
        <w:t xml:space="preserve"> </w:t>
      </w:r>
    </w:p>
    <w:p w14:paraId="10EF787D" w14:textId="5502D6CA" w:rsidR="00D46F4E" w:rsidRDefault="009321B2" w:rsidP="009321B2">
      <w:pPr>
        <w:pStyle w:val="Keywords"/>
      </w:pPr>
      <w:r>
        <w:t>Key words</w:t>
      </w:r>
    </w:p>
    <w:p w14:paraId="68F6E310" w14:textId="58BD5769" w:rsidR="009321B2" w:rsidRPr="001D4A1D" w:rsidRDefault="00935B0C" w:rsidP="009321B2">
      <w:pPr>
        <w:pStyle w:val="Keywords"/>
        <w:rPr>
          <w:color w:val="000000" w:themeColor="text1"/>
        </w:rPr>
      </w:pPr>
      <w:r w:rsidRPr="001D4A1D">
        <w:rPr>
          <w:color w:val="000000" w:themeColor="text1"/>
        </w:rPr>
        <w:t>Dissemination, i</w:t>
      </w:r>
      <w:r w:rsidR="009321B2" w:rsidRPr="001D4A1D">
        <w:rPr>
          <w:color w:val="000000" w:themeColor="text1"/>
        </w:rPr>
        <w:t>n-service</w:t>
      </w:r>
      <w:r w:rsidR="004E1CB9" w:rsidRPr="001D4A1D">
        <w:rPr>
          <w:color w:val="000000" w:themeColor="text1"/>
        </w:rPr>
        <w:t>, dissemination event, online dissemination</w:t>
      </w:r>
      <w:r w:rsidR="00272BD6" w:rsidRPr="001D4A1D">
        <w:rPr>
          <w:color w:val="000000" w:themeColor="text1"/>
        </w:rPr>
        <w:t>.</w:t>
      </w:r>
    </w:p>
    <w:p w14:paraId="0E32796E" w14:textId="77777777" w:rsidR="00A31C80" w:rsidRDefault="00A31C80" w:rsidP="009321B2">
      <w:pPr>
        <w:pStyle w:val="Heading1"/>
      </w:pPr>
    </w:p>
    <w:p w14:paraId="7D3F84F9" w14:textId="77777777" w:rsidR="00A31C80" w:rsidRDefault="00A31C80" w:rsidP="009321B2">
      <w:pPr>
        <w:pStyle w:val="Heading1"/>
      </w:pPr>
    </w:p>
    <w:p w14:paraId="2966B2C0" w14:textId="77777777" w:rsidR="00A31C80" w:rsidRDefault="00A31C80" w:rsidP="009321B2">
      <w:pPr>
        <w:pStyle w:val="Heading1"/>
      </w:pPr>
    </w:p>
    <w:p w14:paraId="44AEFCA5" w14:textId="77777777" w:rsidR="00A31C80" w:rsidRDefault="00A31C80" w:rsidP="009321B2">
      <w:pPr>
        <w:pStyle w:val="Heading1"/>
      </w:pPr>
    </w:p>
    <w:p w14:paraId="2C07B95B" w14:textId="77777777" w:rsidR="00A31C80" w:rsidRDefault="00A31C80" w:rsidP="009321B2">
      <w:pPr>
        <w:pStyle w:val="Heading1"/>
      </w:pPr>
    </w:p>
    <w:p w14:paraId="2EBBF7A7" w14:textId="77777777" w:rsidR="00A31C80" w:rsidRDefault="00A31C80" w:rsidP="009321B2">
      <w:pPr>
        <w:pStyle w:val="Heading1"/>
      </w:pPr>
    </w:p>
    <w:p w14:paraId="583AA152" w14:textId="77777777" w:rsidR="00A31C80" w:rsidRDefault="00A31C80">
      <w:pPr>
        <w:spacing w:after="160" w:line="259" w:lineRule="auto"/>
        <w:rPr>
          <w:rFonts w:cs="Arial"/>
          <w:b/>
          <w:bCs/>
          <w:kern w:val="32"/>
          <w:szCs w:val="32"/>
        </w:rPr>
      </w:pPr>
      <w:r>
        <w:br w:type="page"/>
      </w:r>
    </w:p>
    <w:p w14:paraId="4DEE0DB4" w14:textId="257D6FE6" w:rsidR="00E15629" w:rsidRPr="00A5413F" w:rsidRDefault="00E15629" w:rsidP="009321B2">
      <w:pPr>
        <w:pStyle w:val="Heading1"/>
      </w:pPr>
      <w:r w:rsidRPr="00A5413F">
        <w:lastRenderedPageBreak/>
        <w:t>I</w:t>
      </w:r>
      <w:r w:rsidR="009321B2">
        <w:t>ntroduction</w:t>
      </w:r>
    </w:p>
    <w:p w14:paraId="27E09395" w14:textId="693A6BAA" w:rsidR="00A17BA1" w:rsidRDefault="00C90E29" w:rsidP="0036421B">
      <w:pPr>
        <w:pStyle w:val="Paragraph"/>
      </w:pPr>
      <w:r>
        <w:t>We know that the single biggest factor influencing learning outcomes in schools is the quality of the teaching (Hattie 201</w:t>
      </w:r>
      <w:r w:rsidR="006A0D9B">
        <w:t>1</w:t>
      </w:r>
      <w:r>
        <w:t>). We also know that when teachers have access to timely, relevant and digestible insights from educational research they can use these to inform and improve their practice (</w:t>
      </w:r>
      <w:r w:rsidR="005B1C34">
        <w:t>BERA-RSA 2014</w:t>
      </w:r>
      <w:r>
        <w:t xml:space="preserve">). </w:t>
      </w:r>
      <w:r w:rsidR="00A17BA1">
        <w:t>The</w:t>
      </w:r>
      <w:r>
        <w:t xml:space="preserve"> in-service teachers whose practice we seek to influence</w:t>
      </w:r>
      <w:r w:rsidR="00A17BA1">
        <w:t>, however,</w:t>
      </w:r>
      <w:r>
        <w:t xml:space="preserve"> </w:t>
      </w:r>
      <w:r w:rsidR="00A17BA1">
        <w:t xml:space="preserve">can be </w:t>
      </w:r>
      <w:r>
        <w:t xml:space="preserve">notoriously hard to reach. </w:t>
      </w:r>
      <w:r w:rsidR="00E15629">
        <w:t>Effective dissemination of education research</w:t>
      </w:r>
      <w:r>
        <w:t xml:space="preserve"> </w:t>
      </w:r>
      <w:r w:rsidR="00E15629">
        <w:t>c</w:t>
      </w:r>
      <w:r w:rsidR="00A17BA1">
        <w:t>an</w:t>
      </w:r>
      <w:r>
        <w:t xml:space="preserve"> thus be seen as the </w:t>
      </w:r>
      <w:r w:rsidR="001D1E49">
        <w:t>ultimate goal</w:t>
      </w:r>
      <w:r>
        <w:t xml:space="preserve"> </w:t>
      </w:r>
      <w:r w:rsidR="001D1E49">
        <w:t>of</w:t>
      </w:r>
      <w:r>
        <w:t xml:space="preserve"> researchers intent upon influencing pedagogy</w:t>
      </w:r>
      <w:r w:rsidR="00E15629">
        <w:t xml:space="preserve">. </w:t>
      </w:r>
    </w:p>
    <w:p w14:paraId="7579D199" w14:textId="346690E7" w:rsidR="00E15629" w:rsidRPr="00A31C80" w:rsidRDefault="00E15629" w:rsidP="0036421B">
      <w:pPr>
        <w:pStyle w:val="Paragraph"/>
      </w:pPr>
      <w:r w:rsidRPr="00F12536">
        <w:t>Southwell et al. (</w:t>
      </w:r>
      <w:r>
        <w:t xml:space="preserve">2010) identify three key modes for dissemination of </w:t>
      </w:r>
      <w:r w:rsidR="00302AA3">
        <w:t xml:space="preserve">educational </w:t>
      </w:r>
      <w:r>
        <w:t xml:space="preserve">research </w:t>
      </w:r>
      <w:r w:rsidR="00302AA3">
        <w:t>innovation</w:t>
      </w:r>
      <w:r>
        <w:t>s: journal articles and scholarly publications; resource websites; and face-to-face events such as seminars and conferences. While dissemination by journal publication remains an important way for academics to share</w:t>
      </w:r>
      <w:r w:rsidR="00642FB4">
        <w:t xml:space="preserve"> developments in understanding,</w:t>
      </w:r>
      <w:r>
        <w:t xml:space="preserve"> it is a poor vehicle for communicating with teachers</w:t>
      </w:r>
      <w:r w:rsidR="00F12AFA">
        <w:t xml:space="preserve"> (MacLellan</w:t>
      </w:r>
      <w:r w:rsidR="00C52C88">
        <w:t xml:space="preserve"> 2016</w:t>
      </w:r>
      <w:r w:rsidR="00020FA2">
        <w:t>)</w:t>
      </w:r>
      <w:r>
        <w:t>, who prefer targeted and relevant i</w:t>
      </w:r>
      <w:r w:rsidR="002F0AE4">
        <w:t>nnovations</w:t>
      </w:r>
      <w:r>
        <w:t xml:space="preserve"> that meet an existing n</w:t>
      </w:r>
      <w:r w:rsidR="00F12AFA">
        <w:t xml:space="preserve">eed (Vanderlinde and van Braak </w:t>
      </w:r>
      <w:r>
        <w:t>2010). Online dissemination deliver</w:t>
      </w:r>
      <w:r w:rsidR="00CE7ED8">
        <w:t>s a vast potential</w:t>
      </w:r>
      <w:r>
        <w:t xml:space="preserve"> audience at a modest cost</w:t>
      </w:r>
      <w:r w:rsidR="005B3A3E">
        <w:t xml:space="preserve"> (Cooper</w:t>
      </w:r>
      <w:r w:rsidR="00731ACE">
        <w:t xml:space="preserve"> </w:t>
      </w:r>
      <w:r w:rsidR="005B3A3E">
        <w:t>2014)</w:t>
      </w:r>
      <w:r>
        <w:t xml:space="preserve">, </w:t>
      </w:r>
      <w:r w:rsidR="000923D1">
        <w:t xml:space="preserve">but it </w:t>
      </w:r>
      <w:r>
        <w:t xml:space="preserve">provides limited scope for explication and discussion of the research innovation </w:t>
      </w:r>
      <w:r w:rsidR="00CE7ED8">
        <w:t xml:space="preserve">itself </w:t>
      </w:r>
      <w:r w:rsidR="00D84160">
        <w:t>(Brindley, Blashcke and Walti</w:t>
      </w:r>
      <w:r>
        <w:t xml:space="preserve"> 2009).</w:t>
      </w:r>
      <w:r w:rsidR="00A31C80">
        <w:t xml:space="preserve"> </w:t>
      </w:r>
      <w:r w:rsidR="00020FA2">
        <w:rPr>
          <w:color w:val="000000" w:themeColor="text1"/>
        </w:rPr>
        <w:t>Research innovations can also be presented to the</w:t>
      </w:r>
      <w:r>
        <w:rPr>
          <w:color w:val="000000" w:themeColor="text1"/>
        </w:rPr>
        <w:t xml:space="preserve"> target audience </w:t>
      </w:r>
      <w:r w:rsidR="00020FA2">
        <w:rPr>
          <w:color w:val="000000" w:themeColor="text1"/>
        </w:rPr>
        <w:t>at a face to face event,</w:t>
      </w:r>
      <w:r w:rsidR="001D1E49">
        <w:rPr>
          <w:color w:val="000000" w:themeColor="text1"/>
        </w:rPr>
        <w:t xml:space="preserve"> </w:t>
      </w:r>
      <w:r>
        <w:rPr>
          <w:color w:val="000000" w:themeColor="text1"/>
        </w:rPr>
        <w:t xml:space="preserve">with the aim of increasing their understanding of its </w:t>
      </w:r>
      <w:r w:rsidR="00020FA2">
        <w:rPr>
          <w:color w:val="000000" w:themeColor="text1"/>
        </w:rPr>
        <w:t xml:space="preserve">existence and </w:t>
      </w:r>
      <w:r>
        <w:rPr>
          <w:color w:val="000000" w:themeColor="text1"/>
        </w:rPr>
        <w:t xml:space="preserve">purpose. Although dissemination by event is recommended in institutional guidance as a </w:t>
      </w:r>
      <w:r w:rsidR="00020FA2">
        <w:rPr>
          <w:color w:val="000000" w:themeColor="text1"/>
        </w:rPr>
        <w:t>means of reaching a tar</w:t>
      </w:r>
      <w:r w:rsidR="00F12AFA">
        <w:rPr>
          <w:color w:val="000000" w:themeColor="text1"/>
        </w:rPr>
        <w:t>get audience</w:t>
      </w:r>
      <w:r w:rsidR="000923D1">
        <w:rPr>
          <w:color w:val="000000" w:themeColor="text1"/>
        </w:rPr>
        <w:t xml:space="preserve"> (World Health Organisation 201</w:t>
      </w:r>
      <w:r w:rsidR="002509C7">
        <w:rPr>
          <w:color w:val="000000" w:themeColor="text1"/>
        </w:rPr>
        <w:t>4</w:t>
      </w:r>
      <w:r w:rsidR="000923D1">
        <w:rPr>
          <w:color w:val="000000" w:themeColor="text1"/>
        </w:rPr>
        <w:t>, European Union Horizon 20/20 2014)</w:t>
      </w:r>
      <w:r w:rsidR="001D1E49">
        <w:rPr>
          <w:color w:val="000000" w:themeColor="text1"/>
        </w:rPr>
        <w:t>,</w:t>
      </w:r>
      <w:r>
        <w:rPr>
          <w:color w:val="000000" w:themeColor="text1"/>
        </w:rPr>
        <w:t xml:space="preserve"> it is not considered a sufficient d</w:t>
      </w:r>
      <w:r w:rsidR="00020FA2">
        <w:rPr>
          <w:color w:val="000000" w:themeColor="text1"/>
        </w:rPr>
        <w:t>issemination strategy in and of itself</w:t>
      </w:r>
      <w:r>
        <w:rPr>
          <w:color w:val="000000" w:themeColor="text1"/>
        </w:rPr>
        <w:t>, due to the smaller potential audien</w:t>
      </w:r>
      <w:r w:rsidR="00020FA2">
        <w:rPr>
          <w:color w:val="000000" w:themeColor="text1"/>
        </w:rPr>
        <w:t>ces and greater cost</w:t>
      </w:r>
      <w:r>
        <w:rPr>
          <w:color w:val="000000" w:themeColor="text1"/>
        </w:rPr>
        <w:t>.</w:t>
      </w:r>
    </w:p>
    <w:p w14:paraId="65F9728B" w14:textId="1DD067E7" w:rsidR="00E15629" w:rsidRDefault="00E15629" w:rsidP="0036421B">
      <w:pPr>
        <w:pStyle w:val="Paragraph"/>
        <w:rPr>
          <w:color w:val="000000" w:themeColor="text1"/>
        </w:rPr>
      </w:pPr>
      <w:r>
        <w:rPr>
          <w:color w:val="000000" w:themeColor="text1"/>
        </w:rPr>
        <w:t xml:space="preserve">The interaction between these two modes of dissemination - by event and online – remains an under-explored area of inquiry. </w:t>
      </w:r>
      <w:r w:rsidR="00A17BA1">
        <w:rPr>
          <w:color w:val="000000" w:themeColor="text1"/>
        </w:rPr>
        <w:t>What</w:t>
      </w:r>
      <w:r>
        <w:rPr>
          <w:color w:val="000000" w:themeColor="text1"/>
        </w:rPr>
        <w:t xml:space="preserve"> relationship might exist between the presentation of a </w:t>
      </w:r>
      <w:r>
        <w:rPr>
          <w:color w:val="000000" w:themeColor="text1"/>
        </w:rPr>
        <w:lastRenderedPageBreak/>
        <w:t>research innovation a dissemination event, and downloads of that same innovation online</w:t>
      </w:r>
      <w:r w:rsidR="00A17BA1">
        <w:rPr>
          <w:color w:val="000000" w:themeColor="text1"/>
        </w:rPr>
        <w:t>?</w:t>
      </w:r>
      <w:r w:rsidR="000923D1">
        <w:rPr>
          <w:color w:val="000000" w:themeColor="text1"/>
        </w:rPr>
        <w:t xml:space="preserve"> </w:t>
      </w:r>
      <w:r>
        <w:rPr>
          <w:color w:val="000000" w:themeColor="text1"/>
        </w:rPr>
        <w:t xml:space="preserve">By studying dissemination event and innovation download data over the course of one year for a research innovation aimed at in-service primary teachers, we demonstrate the </w:t>
      </w:r>
      <w:r w:rsidR="00F87D1B">
        <w:rPr>
          <w:color w:val="000000" w:themeColor="text1"/>
        </w:rPr>
        <w:t xml:space="preserve">correlation between </w:t>
      </w:r>
      <w:r>
        <w:rPr>
          <w:color w:val="000000" w:themeColor="text1"/>
        </w:rPr>
        <w:t xml:space="preserve">dissemination events </w:t>
      </w:r>
      <w:r w:rsidR="00F87D1B">
        <w:rPr>
          <w:color w:val="000000" w:themeColor="text1"/>
        </w:rPr>
        <w:t>and</w:t>
      </w:r>
      <w:r>
        <w:rPr>
          <w:color w:val="000000" w:themeColor="text1"/>
        </w:rPr>
        <w:t xml:space="preserve"> downloads of a research innovation </w:t>
      </w:r>
      <w:r w:rsidR="00A17BA1">
        <w:rPr>
          <w:color w:val="000000" w:themeColor="text1"/>
        </w:rPr>
        <w:t>in England</w:t>
      </w:r>
      <w:r>
        <w:rPr>
          <w:color w:val="000000" w:themeColor="text1"/>
        </w:rPr>
        <w:t xml:space="preserve">. </w:t>
      </w:r>
    </w:p>
    <w:p w14:paraId="157711DF" w14:textId="1282B43A" w:rsidR="00E15629" w:rsidRDefault="000923D1" w:rsidP="0036421B">
      <w:pPr>
        <w:pStyle w:val="Paragraph"/>
        <w:rPr>
          <w:color w:val="000000" w:themeColor="text1"/>
        </w:rPr>
      </w:pPr>
      <w:r>
        <w:rPr>
          <w:color w:val="000000" w:themeColor="text1"/>
        </w:rPr>
        <w:t>Klein and Gwaltney’s (1991) model of dissemination types for educational research is used as a theoretical framework to</w:t>
      </w:r>
      <w:r w:rsidR="00A17BA1">
        <w:rPr>
          <w:color w:val="000000" w:themeColor="text1"/>
        </w:rPr>
        <w:t xml:space="preserve"> explore the </w:t>
      </w:r>
      <w:r>
        <w:rPr>
          <w:color w:val="000000" w:themeColor="text1"/>
        </w:rPr>
        <w:t>possible influence of</w:t>
      </w:r>
      <w:r w:rsidR="00F87D1B">
        <w:rPr>
          <w:color w:val="000000" w:themeColor="text1"/>
        </w:rPr>
        <w:t xml:space="preserve"> dissemination event</w:t>
      </w:r>
      <w:r w:rsidR="00A17BA1">
        <w:rPr>
          <w:color w:val="000000" w:themeColor="text1"/>
        </w:rPr>
        <w:t xml:space="preserve"> </w:t>
      </w:r>
      <w:r>
        <w:rPr>
          <w:color w:val="000000" w:themeColor="text1"/>
        </w:rPr>
        <w:t xml:space="preserve">size on </w:t>
      </w:r>
      <w:r w:rsidR="00F87D1B">
        <w:rPr>
          <w:color w:val="000000" w:themeColor="text1"/>
        </w:rPr>
        <w:t>the</w:t>
      </w:r>
      <w:r w:rsidR="00E15629">
        <w:rPr>
          <w:color w:val="000000" w:themeColor="text1"/>
        </w:rPr>
        <w:t xml:space="preserve"> extent of social interaction between the teachers attend</w:t>
      </w:r>
      <w:r w:rsidR="00370EBE">
        <w:rPr>
          <w:color w:val="000000" w:themeColor="text1"/>
        </w:rPr>
        <w:t>ing them</w:t>
      </w:r>
      <w:r w:rsidR="000E2383">
        <w:rPr>
          <w:color w:val="000000" w:themeColor="text1"/>
        </w:rPr>
        <w:t>,</w:t>
      </w:r>
      <w:r w:rsidR="00E15629">
        <w:rPr>
          <w:color w:val="000000" w:themeColor="text1"/>
        </w:rPr>
        <w:t xml:space="preserve"> </w:t>
      </w:r>
      <w:r w:rsidR="00603C69">
        <w:rPr>
          <w:color w:val="000000" w:themeColor="text1"/>
        </w:rPr>
        <w:t xml:space="preserve">thereby </w:t>
      </w:r>
      <w:r w:rsidR="00935B0C">
        <w:rPr>
          <w:color w:val="000000" w:themeColor="text1"/>
        </w:rPr>
        <w:t>influencing the effectiveness of</w:t>
      </w:r>
      <w:r w:rsidR="00E15629">
        <w:rPr>
          <w:color w:val="000000" w:themeColor="text1"/>
        </w:rPr>
        <w:t xml:space="preserve"> the dissemination proces</w:t>
      </w:r>
      <w:r w:rsidR="000E2383">
        <w:rPr>
          <w:color w:val="000000" w:themeColor="text1"/>
        </w:rPr>
        <w:t>s</w:t>
      </w:r>
      <w:r w:rsidR="00E57FF5">
        <w:rPr>
          <w:color w:val="000000" w:themeColor="text1"/>
        </w:rPr>
        <w:t xml:space="preserve">. </w:t>
      </w:r>
      <w:r w:rsidR="00935B0C" w:rsidRPr="001D4A1D">
        <w:rPr>
          <w:color w:val="000000" w:themeColor="text1"/>
        </w:rPr>
        <w:t>We conclude by</w:t>
      </w:r>
      <w:r w:rsidR="00603C69" w:rsidRPr="001D4A1D">
        <w:rPr>
          <w:color w:val="000000" w:themeColor="text1"/>
        </w:rPr>
        <w:t xml:space="preserve"> recommend</w:t>
      </w:r>
      <w:r w:rsidR="00935B0C" w:rsidRPr="001D4A1D">
        <w:rPr>
          <w:color w:val="000000" w:themeColor="text1"/>
        </w:rPr>
        <w:t>ing</w:t>
      </w:r>
      <w:r w:rsidR="00603C69" w:rsidRPr="001D4A1D">
        <w:rPr>
          <w:color w:val="000000" w:themeColor="text1"/>
        </w:rPr>
        <w:t xml:space="preserve"> that research teams pursue a bimodal dissemination strategy of active outreach through targeted dissemination events and passive availability</w:t>
      </w:r>
      <w:r w:rsidR="001D1E49" w:rsidRPr="001D4A1D">
        <w:rPr>
          <w:color w:val="000000" w:themeColor="text1"/>
        </w:rPr>
        <w:t xml:space="preserve"> </w:t>
      </w:r>
      <w:r w:rsidR="00603C69" w:rsidRPr="001D4A1D">
        <w:rPr>
          <w:color w:val="000000" w:themeColor="text1"/>
        </w:rPr>
        <w:t xml:space="preserve">of their innovation online. As </w:t>
      </w:r>
      <w:r w:rsidR="00603C69">
        <w:rPr>
          <w:color w:val="000000" w:themeColor="text1"/>
        </w:rPr>
        <w:t>such, the results of this study are</w:t>
      </w:r>
      <w:r w:rsidR="00E15629" w:rsidRPr="00B60298">
        <w:rPr>
          <w:color w:val="000000" w:themeColor="text1"/>
        </w:rPr>
        <w:t xml:space="preserve"> of interest to all researchers wishing to design an effective dissemination strategy which puts their inno</w:t>
      </w:r>
      <w:r w:rsidR="00CE7ED8">
        <w:rPr>
          <w:color w:val="000000" w:themeColor="text1"/>
        </w:rPr>
        <w:t>vation into the hands of their intended audience.</w:t>
      </w:r>
    </w:p>
    <w:p w14:paraId="470313B7" w14:textId="77777777" w:rsidR="00B21915" w:rsidRDefault="00B21915" w:rsidP="00B21915">
      <w:pPr>
        <w:rPr>
          <w:color w:val="000000" w:themeColor="text1"/>
        </w:rPr>
      </w:pPr>
    </w:p>
    <w:p w14:paraId="1F9307DA" w14:textId="66A0EF24" w:rsidR="00B21915" w:rsidRPr="00B21915" w:rsidRDefault="00B21915" w:rsidP="00B21915">
      <w:pPr>
        <w:rPr>
          <w:b/>
          <w:color w:val="000000" w:themeColor="text1"/>
        </w:rPr>
      </w:pPr>
      <w:r w:rsidRPr="00B21915">
        <w:rPr>
          <w:b/>
          <w:color w:val="000000" w:themeColor="text1"/>
        </w:rPr>
        <w:t>Literature review</w:t>
      </w:r>
    </w:p>
    <w:p w14:paraId="66A7D5C2" w14:textId="3FB50BD0" w:rsidR="008B250F" w:rsidRPr="00B21915" w:rsidRDefault="009321B2" w:rsidP="00B21915">
      <w:pPr>
        <w:rPr>
          <w:b/>
          <w:i/>
          <w:color w:val="000000" w:themeColor="text1"/>
        </w:rPr>
      </w:pPr>
      <w:r w:rsidRPr="00B21915">
        <w:rPr>
          <w:b/>
          <w:i/>
        </w:rPr>
        <w:t>Dissemination of educational research innovations</w:t>
      </w:r>
    </w:p>
    <w:p w14:paraId="7726EA2A" w14:textId="77777777" w:rsidR="00B21915" w:rsidRDefault="00603C69" w:rsidP="00603C69">
      <w:r>
        <w:t xml:space="preserve">For the purposes of this study, dissemination of educational research outputs is understood as the process of “extracting the main messages or key implications derived from research results and communicating them to targeted groups of decision makers… in a way that encourages them to factor the research implications into their work”. (Canadian Foundation for Healthcare Improvement, 2016, p.2). </w:t>
      </w:r>
    </w:p>
    <w:p w14:paraId="2DA0AD75" w14:textId="77777777" w:rsidR="00B21915" w:rsidRDefault="00B21915" w:rsidP="00603C69"/>
    <w:p w14:paraId="60DD923B" w14:textId="45CFAC59" w:rsidR="00A31C80" w:rsidRDefault="00E15629" w:rsidP="00603C69">
      <w:r>
        <w:t xml:space="preserve">Dissemination theory for educational research is largely derived from </w:t>
      </w:r>
      <w:r w:rsidR="00370EBE">
        <w:t xml:space="preserve">the </w:t>
      </w:r>
      <w:r>
        <w:t>medical and social</w:t>
      </w:r>
      <w:r w:rsidR="00370EBE">
        <w:t xml:space="preserve"> sciences </w:t>
      </w:r>
      <w:r>
        <w:t>(</w:t>
      </w:r>
      <w:r w:rsidR="00603C69">
        <w:t xml:space="preserve">e.g.: National Center for the Dissemination of Disability Research </w:t>
      </w:r>
      <w:r w:rsidR="00C04341">
        <w:t>1996</w:t>
      </w:r>
      <w:r w:rsidR="00603C69">
        <w:t>, CFHI 2016</w:t>
      </w:r>
      <w:r w:rsidR="00370EBE">
        <w:t>) and</w:t>
      </w:r>
      <w:r>
        <w:t xml:space="preserve"> </w:t>
      </w:r>
      <w:r w:rsidR="00603C69">
        <w:t xml:space="preserve">the effective dissemination and embedding of innovative practice in higher education institutions </w:t>
      </w:r>
      <w:r>
        <w:t xml:space="preserve">(Gannaway </w:t>
      </w:r>
      <w:r w:rsidR="00B446FE">
        <w:t>et al.</w:t>
      </w:r>
      <w:r w:rsidR="00EB34F7">
        <w:t xml:space="preserve"> 2013).</w:t>
      </w:r>
      <w:r w:rsidR="00370EBE">
        <w:t xml:space="preserve"> </w:t>
      </w:r>
      <w:r w:rsidR="00603C69">
        <w:t xml:space="preserve">Broad similarities exist, however, in successful </w:t>
      </w:r>
      <w:r w:rsidR="00603C69">
        <w:lastRenderedPageBreak/>
        <w:t>dissemination practice across all disciplines. They have been summarised by Kirst (2000) as: trust in the source; the appropriateness of the dissemination mode; the format of the innovation; the message conveyed; and the characteristics of the recipient</w:t>
      </w:r>
      <w:r w:rsidR="00935B0C">
        <w:t xml:space="preserve">. </w:t>
      </w:r>
    </w:p>
    <w:p w14:paraId="41A0A1B3" w14:textId="77777777" w:rsidR="00A31C80" w:rsidRDefault="00A31C80" w:rsidP="00603C69"/>
    <w:p w14:paraId="7D32F49D" w14:textId="276B75C2" w:rsidR="00E15629" w:rsidRPr="00474D09" w:rsidRDefault="00A31C80" w:rsidP="00603C69">
      <w:r>
        <w:t>Dissemination of research innovations is not a simple process of distribution, however; s</w:t>
      </w:r>
      <w:r w:rsidR="00603C69">
        <w:t>cholarly inquiry has previously indicated that a correctly targeted audience</w:t>
      </w:r>
      <w:r w:rsidR="00B21915">
        <w:t xml:space="preserve"> of in-service teachers</w:t>
      </w:r>
      <w:r w:rsidR="00603C69">
        <w:t xml:space="preserve"> might reject an innovation if it is poorly explained, received through an untrusted channel, or perceived to irrelevant (Moore, 2006; Shkedi, 1998; MacLellan, 2016)</w:t>
      </w:r>
      <w:r>
        <w:t xml:space="preserve">. </w:t>
      </w:r>
      <w:r w:rsidR="00935B0C">
        <w:t>Of the three dissemination modes identified by Southwell et al (2010) the two modes which are most appropriate for reaching in-service teachers will be considered in this study:</w:t>
      </w:r>
      <w:r w:rsidR="00B21915">
        <w:t xml:space="preserve"> dissemination by event and dissemination online. </w:t>
      </w:r>
      <w:r w:rsidR="00935B0C">
        <w:t xml:space="preserve">A brief outline of the known benefits and disadvantages of each mode is given below. </w:t>
      </w:r>
    </w:p>
    <w:p w14:paraId="6167A668" w14:textId="77777777" w:rsidR="00E15629" w:rsidRPr="004B15A0" w:rsidRDefault="00E15629" w:rsidP="00CB55E8">
      <w:pPr>
        <w:pStyle w:val="Heading2"/>
      </w:pPr>
      <w:r w:rsidRPr="004B15A0">
        <w:t>Dissemination online</w:t>
      </w:r>
    </w:p>
    <w:p w14:paraId="3F5C20BE" w14:textId="1A33E98F" w:rsidR="00584897" w:rsidRDefault="0010074C" w:rsidP="00E15629">
      <w:r>
        <w:t>When a research innovation is disseminated online as a download, it is instantly available to a global audience</w:t>
      </w:r>
      <w:r w:rsidR="00E60268">
        <w:t>. Furthermore, it</w:t>
      </w:r>
      <w:r w:rsidR="00370EBE">
        <w:t xml:space="preserve"> c</w:t>
      </w:r>
      <w:r w:rsidR="00CF1C50">
        <w:t xml:space="preserve">an </w:t>
      </w:r>
      <w:r>
        <w:t xml:space="preserve">be discovered at the convenience of </w:t>
      </w:r>
      <w:r w:rsidR="00E60268">
        <w:t>the person searching for it</w:t>
      </w:r>
      <w:r w:rsidR="009D1549">
        <w:t xml:space="preserve"> (Wulf</w:t>
      </w:r>
      <w:r w:rsidR="00370EBE">
        <w:t xml:space="preserve"> 1996)</w:t>
      </w:r>
      <w:r w:rsidR="00CF1C50">
        <w:t>.</w:t>
      </w:r>
      <w:r w:rsidR="00E15629">
        <w:t xml:space="preserve"> </w:t>
      </w:r>
      <w:r w:rsidR="00CF1C50">
        <w:t>P</w:t>
      </w:r>
      <w:r w:rsidR="00E15629">
        <w:t xml:space="preserve">lacing an innovation online does not </w:t>
      </w:r>
      <w:r w:rsidR="00584897">
        <w:t xml:space="preserve">mean that it has reached </w:t>
      </w:r>
      <w:r w:rsidR="00E60268">
        <w:t>its target</w:t>
      </w:r>
      <w:r w:rsidR="00584897">
        <w:t xml:space="preserve"> audience by</w:t>
      </w:r>
      <w:r w:rsidR="00E60268">
        <w:t xml:space="preserve"> mere</w:t>
      </w:r>
      <w:r w:rsidR="00584897">
        <w:t xml:space="preserve"> dint of being available, however (Cooper 2014)</w:t>
      </w:r>
      <w:r w:rsidR="00E60268">
        <w:t>;</w:t>
      </w:r>
      <w:r w:rsidR="00584897">
        <w:t xml:space="preserve"> nor does it </w:t>
      </w:r>
      <w:r w:rsidR="00E15629">
        <w:t>guarantee that the end-user will be able to comprehend it sufficiently</w:t>
      </w:r>
      <w:r w:rsidR="009D1549">
        <w:t xml:space="preserve"> to implement it</w:t>
      </w:r>
      <w:r w:rsidR="00217811">
        <w:t>s ideas</w:t>
      </w:r>
      <w:r w:rsidR="009D1549">
        <w:t xml:space="preserve"> (Dede</w:t>
      </w:r>
      <w:r w:rsidR="00E15629">
        <w:t xml:space="preserve"> 1996)</w:t>
      </w:r>
      <w:r w:rsidR="00584897">
        <w:t xml:space="preserve">. </w:t>
      </w:r>
      <w:r w:rsidR="003C6F0D">
        <w:t>In offering limited scope for explication (Brindley, Blaschke and Walti 2009) o</w:t>
      </w:r>
      <w:r w:rsidR="00584897">
        <w:t xml:space="preserve">nline dissemination also </w:t>
      </w:r>
      <w:r>
        <w:t>limits the</w:t>
      </w:r>
      <w:r w:rsidR="00584897">
        <w:t xml:space="preserve"> scope for researchers to tackle the motivational dimensions behind a teacher’s decision to </w:t>
      </w:r>
      <w:r w:rsidR="003C6F0D">
        <w:t>attempt to change their practice</w:t>
      </w:r>
      <w:r w:rsidR="00584897">
        <w:t xml:space="preserve"> (Korthagen 2017). And while online dissemination appears in the guidance offered by many large organisations (Beacham et </w:t>
      </w:r>
      <w:r w:rsidR="003C6F0D">
        <w:t xml:space="preserve">al. 2003), it has been argued by some that “passive availability of research is not an effective dissemination strategy compared with active outreach” (Edelstein, Shah and Levin 2012, 9). We can therefore conclude that while online dissemination is a useful tool to the </w:t>
      </w:r>
      <w:r w:rsidR="003C6F0D">
        <w:lastRenderedPageBreak/>
        <w:t>academic research team,</w:t>
      </w:r>
      <w:r w:rsidR="00584897">
        <w:t xml:space="preserve"> its limited potential should be </w:t>
      </w:r>
      <w:r w:rsidR="003C6F0D">
        <w:t>borne in mind</w:t>
      </w:r>
      <w:r w:rsidR="00584897">
        <w:t xml:space="preserve"> </w:t>
      </w:r>
      <w:r w:rsidR="003C6F0D">
        <w:t>when</w:t>
      </w:r>
      <w:r w:rsidR="00584897">
        <w:t xml:space="preserve"> attempting to</w:t>
      </w:r>
      <w:r>
        <w:t xml:space="preserve"> reach and</w:t>
      </w:r>
      <w:r w:rsidR="00584897">
        <w:t xml:space="preserve"> influence the practice of in-service teachers.</w:t>
      </w:r>
    </w:p>
    <w:p w14:paraId="2796986D" w14:textId="77777777" w:rsidR="00E15629" w:rsidRPr="00A5413F" w:rsidRDefault="00E15629" w:rsidP="007B2CEE">
      <w:pPr>
        <w:pStyle w:val="Heading2"/>
      </w:pPr>
      <w:r w:rsidRPr="00A5413F">
        <w:t>Dissemination by event</w:t>
      </w:r>
    </w:p>
    <w:p w14:paraId="57626184" w14:textId="25CE2B61" w:rsidR="009C755D" w:rsidRDefault="0061652E" w:rsidP="00E15629">
      <w:r>
        <w:t>Dissemination by event solves the problem of explication by providing a forum within which the research innovation can be presented and explained to its target audience. According to</w:t>
      </w:r>
      <w:r w:rsidR="00217811">
        <w:t xml:space="preserve"> </w:t>
      </w:r>
      <w:r w:rsidR="00E15629">
        <w:t>Hutchin</w:t>
      </w:r>
      <w:r w:rsidR="001C4E09">
        <w:t>son and Huberman (</w:t>
      </w:r>
      <w:r w:rsidR="00935B0C">
        <w:t>1994</w:t>
      </w:r>
      <w:r w:rsidR="001C4E09">
        <w:t>)</w:t>
      </w:r>
      <w:r w:rsidR="00217811">
        <w:t>,</w:t>
      </w:r>
      <w:r w:rsidR="00E15629">
        <w:t xml:space="preserve"> th</w:t>
      </w:r>
      <w:r>
        <w:t>is is th</w:t>
      </w:r>
      <w:r w:rsidR="00E15629">
        <w:t xml:space="preserve">e most effective approach </w:t>
      </w:r>
      <w:r w:rsidR="00A31C80">
        <w:t>for disseminating research outputs to in-services teachers</w:t>
      </w:r>
      <w:r>
        <w:t>, as it is</w:t>
      </w:r>
      <w:r w:rsidR="00E15629">
        <w:t xml:space="preserve"> </w:t>
      </w:r>
      <w:r w:rsidR="007F09B1">
        <w:t>‘a</w:t>
      </w:r>
      <w:r w:rsidR="00E15629">
        <w:t xml:space="preserve"> </w:t>
      </w:r>
      <w:r w:rsidR="007F09B1">
        <w:t>“</w:t>
      </w:r>
      <w:r w:rsidR="00E15629">
        <w:t>constructivist</w:t>
      </w:r>
      <w:r w:rsidR="007F09B1">
        <w:t>”</w:t>
      </w:r>
      <w:r w:rsidR="00E15629">
        <w:t xml:space="preserve"> one, whereby research and other kinds of specialised knowledge </w:t>
      </w:r>
      <w:r>
        <w:t>are</w:t>
      </w:r>
      <w:r w:rsidR="00E15629">
        <w:t xml:space="preserve"> exchanged between researchers and professionals in a mutually </w:t>
      </w:r>
      <w:r w:rsidR="00F12536">
        <w:t>constructed social context</w:t>
      </w:r>
      <w:r w:rsidR="007F09B1">
        <w:t>’</w:t>
      </w:r>
      <w:r w:rsidR="00935B0C">
        <w:t xml:space="preserve"> (ibid., 27)</w:t>
      </w:r>
      <w:r w:rsidR="00E15629">
        <w:t>. This complements the view</w:t>
      </w:r>
      <w:r w:rsidR="00A31C80">
        <w:t>, expressed elsewhere in the literature,</w:t>
      </w:r>
      <w:r w:rsidR="00E15629">
        <w:t xml:space="preserve"> that a teacher’s preferred information-gathering format is </w:t>
      </w:r>
      <w:r>
        <w:t xml:space="preserve">through </w:t>
      </w:r>
      <w:r w:rsidR="00E15629">
        <w:t>face-to-face</w:t>
      </w:r>
      <w:r>
        <w:t xml:space="preserve"> interaction with their peers</w:t>
      </w:r>
      <w:r w:rsidR="009D1549">
        <w:t xml:space="preserve"> (Gassenheimer </w:t>
      </w:r>
      <w:r w:rsidR="00E15629">
        <w:t>2013</w:t>
      </w:r>
      <w:r w:rsidR="00C04341">
        <w:t>, Pareja-Roblin 2014</w:t>
      </w:r>
      <w:r w:rsidR="00E15629">
        <w:t xml:space="preserve">). </w:t>
      </w:r>
    </w:p>
    <w:p w14:paraId="546BB196" w14:textId="77777777" w:rsidR="00A31C80" w:rsidRDefault="00A31C80" w:rsidP="00E15629"/>
    <w:p w14:paraId="7443EF93" w14:textId="3A3DE61C" w:rsidR="00E15629" w:rsidRDefault="00E15629" w:rsidP="00E15629">
      <w:r>
        <w:t xml:space="preserve">Dissemination of research innovations by event </w:t>
      </w:r>
      <w:r w:rsidR="0061652E">
        <w:t>can allow</w:t>
      </w:r>
      <w:r>
        <w:t xml:space="preserve"> the teachers attending to benefit from interaction </w:t>
      </w:r>
      <w:r w:rsidR="009D1549">
        <w:t xml:space="preserve">with the </w:t>
      </w:r>
      <w:r w:rsidR="007F09B1">
        <w:t>‘</w:t>
      </w:r>
      <w:r w:rsidR="009D1549">
        <w:t>linking agent</w:t>
      </w:r>
      <w:r w:rsidR="007F09B1">
        <w:t>’</w:t>
      </w:r>
      <w:r w:rsidR="009D1549">
        <w:t xml:space="preserve"> (Louis</w:t>
      </w:r>
      <w:r>
        <w:t xml:space="preserve"> 1980)</w:t>
      </w:r>
      <w:r w:rsidR="0061652E">
        <w:t xml:space="preserve"> who can explain the innovation and its intended application in detail</w:t>
      </w:r>
      <w:r>
        <w:t>. Asking questions and reflecting upon its possible application to thei</w:t>
      </w:r>
      <w:r w:rsidR="001C4E09">
        <w:t>r setting allows</w:t>
      </w:r>
      <w:r>
        <w:t xml:space="preserve"> the audience to consider its use against their own values and beli</w:t>
      </w:r>
      <w:r w:rsidR="00962227">
        <w:t>efs</w:t>
      </w:r>
      <w:r w:rsidR="0061652E">
        <w:t xml:space="preserve"> (</w:t>
      </w:r>
      <w:r w:rsidR="00A31C80">
        <w:t>Creemers 1986</w:t>
      </w:r>
      <w:r w:rsidR="0061652E">
        <w:t>)</w:t>
      </w:r>
      <w:r w:rsidR="00A31C80">
        <w:t xml:space="preserve"> thus fulfilling some of the motivational dimensions involved in teachers changing practice (Korthagen 2017)</w:t>
      </w:r>
      <w:r w:rsidR="0061652E">
        <w:t xml:space="preserve">. </w:t>
      </w:r>
    </w:p>
    <w:p w14:paraId="05C5F962" w14:textId="77777777" w:rsidR="003E1EC2" w:rsidRDefault="003E1EC2" w:rsidP="00E15629"/>
    <w:p w14:paraId="185D605A" w14:textId="362FB042" w:rsidR="00935B0C" w:rsidRDefault="00E15629" w:rsidP="00E15629">
      <w:r>
        <w:t>Drawbacks to dissemination by event</w:t>
      </w:r>
      <w:r w:rsidR="0061652E">
        <w:t xml:space="preserve"> primarily</w:t>
      </w:r>
      <w:r>
        <w:t xml:space="preserve"> include </w:t>
      </w:r>
      <w:r w:rsidR="0061652E">
        <w:t>the greater cost and a</w:t>
      </w:r>
      <w:r w:rsidR="00D05327">
        <w:t xml:space="preserve"> lower potential audience</w:t>
      </w:r>
      <w:r>
        <w:t xml:space="preserve">. </w:t>
      </w:r>
      <w:r w:rsidR="00A24C58">
        <w:t>Smaller audiences permit a greater level of interactivity between the presenter and the delegates, possibly resulting in increased understanding of the innovation, but can only accommodate a fraction of the potential audience of online dissemination. And larger d</w:t>
      </w:r>
      <w:r w:rsidR="00EC1704">
        <w:t xml:space="preserve">issemination events that are merely showcases of research activity have been derided in the literature as ‘dog and pony shows’ that ‘seldom promote substantial change’ (Stevens 2004, </w:t>
      </w:r>
      <w:r w:rsidR="00EC1704">
        <w:lastRenderedPageBreak/>
        <w:t>34).</w:t>
      </w:r>
      <w:r w:rsidR="00A24C58">
        <w:t xml:space="preserve"> Thus, while personal interaction with the end-user of an innovation is recommended for effective dissemination (NCDDR 2001), the size of the audience at a dissemination event might inhibit or even preclude this (Klein and Gwaltney 1991).</w:t>
      </w:r>
      <w:r w:rsidR="00EC1704">
        <w:t xml:space="preserve"> </w:t>
      </w:r>
    </w:p>
    <w:p w14:paraId="0976C7AF" w14:textId="77777777" w:rsidR="00935B0C" w:rsidRDefault="00935B0C" w:rsidP="00E15629"/>
    <w:p w14:paraId="29AC1ACD" w14:textId="2CD73A39" w:rsidR="00E15629" w:rsidRDefault="009D0E5B" w:rsidP="00E15629">
      <w:r>
        <w:t xml:space="preserve"> </w:t>
      </w:r>
      <w:r w:rsidR="00EC1704">
        <w:t>It therefore seems that,</w:t>
      </w:r>
      <w:r w:rsidR="00E15629">
        <w:t xml:space="preserve"> while dissemination events may provide an enhanced opportunity for teachers to </w:t>
      </w:r>
      <w:r w:rsidR="00217811">
        <w:t>learn about a</w:t>
      </w:r>
      <w:r w:rsidR="00E15629">
        <w:t xml:space="preserve"> research innovation and reflect upon how they migh</w:t>
      </w:r>
      <w:r>
        <w:t>t use it in their setting, the event’s</w:t>
      </w:r>
      <w:r w:rsidR="00E15629">
        <w:t xml:space="preserve"> effectiveness might be influenced </w:t>
      </w:r>
      <w:r>
        <w:t>by audience size and the</w:t>
      </w:r>
      <w:r w:rsidR="00E15629">
        <w:t xml:space="preserve"> interactivity of the presentation</w:t>
      </w:r>
      <w:r w:rsidR="005D12C3">
        <w:t xml:space="preserve">. </w:t>
      </w:r>
      <w:r w:rsidR="00EC1704">
        <w:t xml:space="preserve">The potential audience reached by the research team might also be </w:t>
      </w:r>
      <w:r w:rsidR="00EC1704" w:rsidRPr="001D4A1D">
        <w:rPr>
          <w:color w:val="000000" w:themeColor="text1"/>
        </w:rPr>
        <w:t xml:space="preserve">considerably smaller. </w:t>
      </w:r>
      <w:r w:rsidR="000C0C1C" w:rsidRPr="001D4A1D">
        <w:rPr>
          <w:color w:val="000000" w:themeColor="text1"/>
        </w:rPr>
        <w:t>When the limitations of online dissemination as a standalone strategy are taken into account, a study which examines the relative effectiveness of each strategy, and their possible interaction, would be a welcome addition to the literature.</w:t>
      </w:r>
    </w:p>
    <w:p w14:paraId="04FDD8EC" w14:textId="77777777" w:rsidR="00217811" w:rsidRDefault="00217811" w:rsidP="00E15629"/>
    <w:p w14:paraId="4A8D05BC" w14:textId="2DCA0EE5" w:rsidR="00E15629" w:rsidRPr="004B15A0" w:rsidRDefault="00E15629" w:rsidP="008B250F">
      <w:pPr>
        <w:pStyle w:val="Heading2"/>
      </w:pPr>
      <w:r w:rsidRPr="004B15A0">
        <w:t xml:space="preserve">The </w:t>
      </w:r>
      <w:r w:rsidR="00EC1704">
        <w:t>Teacher Assessment in Primary Science (TAPS) Pyramid</w:t>
      </w:r>
    </w:p>
    <w:p w14:paraId="3FF42BCC" w14:textId="5E89AD84" w:rsidR="00D452EA" w:rsidRDefault="00D452EA" w:rsidP="00E15629">
      <w:r>
        <w:t xml:space="preserve">The output for dissemination featured in this </w:t>
      </w:r>
      <w:r w:rsidR="00B26F1C">
        <w:t>report</w:t>
      </w:r>
      <w:r>
        <w:t xml:space="preserve"> is t</w:t>
      </w:r>
      <w:r w:rsidR="003B3970">
        <w:t xml:space="preserve">he </w:t>
      </w:r>
      <w:r w:rsidR="00EC1704">
        <w:t>TAPS Pyramid</w:t>
      </w:r>
      <w:r w:rsidR="000C0C1C">
        <w:t xml:space="preserve"> (</w:t>
      </w:r>
      <w:r w:rsidR="00CD75ED">
        <w:t>Earle et al. 2016)</w:t>
      </w:r>
      <w:r>
        <w:t>,</w:t>
      </w:r>
      <w:r w:rsidR="003B3970">
        <w:t xml:space="preserve"> developed as part of the </w:t>
      </w:r>
      <w:r w:rsidR="00EC1704">
        <w:t>TAPS project</w:t>
      </w:r>
      <w:r w:rsidR="003B3970">
        <w:t xml:space="preserve"> at </w:t>
      </w:r>
      <w:r w:rsidR="00EC1704">
        <w:t>the Institute for Education at Bath Spa University</w:t>
      </w:r>
      <w:r w:rsidR="003B3970">
        <w:t>.</w:t>
      </w:r>
      <w:r w:rsidR="008F7B2F" w:rsidRPr="008F7B2F">
        <w:t xml:space="preserve"> </w:t>
      </w:r>
      <w:r w:rsidR="008F7B2F">
        <w:t xml:space="preserve">It takes the form of </w:t>
      </w:r>
      <w:r w:rsidR="008F7B2F" w:rsidRPr="00D452EA">
        <w:t>a framework for using teacher judgment as the basis for assessing pupil</w:t>
      </w:r>
      <w:r w:rsidR="00B26F1C">
        <w:t>s both formatively and summatively</w:t>
      </w:r>
      <w:r w:rsidR="008F7B2F" w:rsidRPr="00D452EA">
        <w:t>, moving from the teacher’s assessment practice in the classroom to the school’s reporting practice.</w:t>
      </w:r>
      <w:r w:rsidR="003B3970">
        <w:t xml:space="preserve"> Its intended audience </w:t>
      </w:r>
      <w:r w:rsidR="008F7B2F">
        <w:t>i</w:t>
      </w:r>
      <w:r w:rsidR="003B3970">
        <w:t>s primary s</w:t>
      </w:r>
      <w:r w:rsidR="00DF727E">
        <w:t xml:space="preserve">chool teachers, </w:t>
      </w:r>
      <w:r w:rsidR="003B3970">
        <w:t>subject specialist</w:t>
      </w:r>
      <w:r w:rsidR="00DF727E">
        <w:t>s and</w:t>
      </w:r>
      <w:r w:rsidR="002F0AE4">
        <w:t xml:space="preserve"> school leaders. </w:t>
      </w:r>
    </w:p>
    <w:p w14:paraId="62D27D1D" w14:textId="77777777" w:rsidR="00A24C58" w:rsidRDefault="00A24C58" w:rsidP="00E15629"/>
    <w:p w14:paraId="1F21E048" w14:textId="3114521F" w:rsidR="00887CCC" w:rsidRDefault="004B15A0" w:rsidP="00E15629">
      <w:r>
        <w:t>Th</w:t>
      </w:r>
      <w:r w:rsidR="008F7B2F">
        <w:t xml:space="preserve">e </w:t>
      </w:r>
      <w:r w:rsidR="00EC1704">
        <w:t>TAPS Pyramid</w:t>
      </w:r>
      <w:r w:rsidR="002F0AE4">
        <w:t xml:space="preserve"> was designed </w:t>
      </w:r>
      <w:r w:rsidR="00B26F1C">
        <w:t xml:space="preserve">in </w:t>
      </w:r>
      <w:r w:rsidR="0072784F">
        <w:t>collaborati</w:t>
      </w:r>
      <w:r w:rsidR="00B26F1C">
        <w:t>on</w:t>
      </w:r>
      <w:r w:rsidR="00D452EA">
        <w:t xml:space="preserve"> </w:t>
      </w:r>
      <w:r w:rsidR="002F0AE4">
        <w:t>with in-service teachers</w:t>
      </w:r>
      <w:r w:rsidR="007D3415">
        <w:t xml:space="preserve"> (</w:t>
      </w:r>
      <w:r w:rsidR="00EC1704">
        <w:t>Davies et al.</w:t>
      </w:r>
      <w:r w:rsidR="007D3415">
        <w:t xml:space="preserve"> 2017)</w:t>
      </w:r>
      <w:r w:rsidR="002F0AE4">
        <w:t>,</w:t>
      </w:r>
      <w:r w:rsidR="0072784F" w:rsidRPr="0072784F">
        <w:t xml:space="preserve"> </w:t>
      </w:r>
      <w:r w:rsidR="0072784F">
        <w:t>through an iterative process</w:t>
      </w:r>
      <w:r w:rsidR="002F0AE4">
        <w:t xml:space="preserve"> to ensure a </w:t>
      </w:r>
      <w:r w:rsidR="009D1549">
        <w:t>deep connection</w:t>
      </w:r>
      <w:r w:rsidR="002F0AE4">
        <w:t xml:space="preserve"> between educational theory and </w:t>
      </w:r>
      <w:r w:rsidR="00D452EA">
        <w:t xml:space="preserve">recommendations </w:t>
      </w:r>
      <w:r w:rsidR="002F0AE4">
        <w:t>for clas</w:t>
      </w:r>
      <w:r w:rsidR="009D1549">
        <w:t>sroom practice (Rey and Gaussel</w:t>
      </w:r>
      <w:r w:rsidR="002F0AE4">
        <w:t xml:space="preserve"> 2016)</w:t>
      </w:r>
      <w:r w:rsidR="003B3970">
        <w:t>.</w:t>
      </w:r>
      <w:r w:rsidR="00DF727E">
        <w:t xml:space="preserve"> U</w:t>
      </w:r>
      <w:r w:rsidR="008F7B2F">
        <w:t>nlike more theoretical research outputs, the end-user was the focus of the research and the output was designed</w:t>
      </w:r>
      <w:r w:rsidR="00E90EF3">
        <w:t xml:space="preserve"> with distribution in mind</w:t>
      </w:r>
      <w:r w:rsidR="008F7B2F">
        <w:t>.</w:t>
      </w:r>
      <w:r w:rsidR="003B3970">
        <w:t xml:space="preserve"> It was disseminated via a bimodal strategy of online </w:t>
      </w:r>
      <w:r w:rsidR="003B3970">
        <w:lastRenderedPageBreak/>
        <w:t>availability</w:t>
      </w:r>
      <w:r w:rsidR="009364F5">
        <w:t xml:space="preserve"> </w:t>
      </w:r>
      <w:r w:rsidR="003B3970">
        <w:t>as a download</w:t>
      </w:r>
      <w:r w:rsidR="00EC1704">
        <w:t>able resource,</w:t>
      </w:r>
      <w:r w:rsidR="003B3970">
        <w:t xml:space="preserve"> and through disseminat</w:t>
      </w:r>
      <w:r w:rsidR="00165202">
        <w:t>ion events</w:t>
      </w:r>
      <w:r w:rsidR="000A7E54">
        <w:t xml:space="preserve"> (Hopwood-Stephens 2018a)</w:t>
      </w:r>
      <w:r w:rsidR="00165202">
        <w:t>. These events ranged</w:t>
      </w:r>
      <w:r w:rsidR="00887CCC">
        <w:t xml:space="preserve"> in size from national conference key-notes </w:t>
      </w:r>
      <w:r w:rsidR="00165202">
        <w:t xml:space="preserve">with audiences of over one hundred </w:t>
      </w:r>
      <w:r w:rsidR="00887CCC">
        <w:t xml:space="preserve">to regional gatherings of </w:t>
      </w:r>
      <w:r w:rsidR="00165202">
        <w:t xml:space="preserve">several </w:t>
      </w:r>
      <w:r w:rsidR="00887CCC">
        <w:t>teachers with a special curriculum interest in primary science.</w:t>
      </w:r>
    </w:p>
    <w:p w14:paraId="71A5DB9B" w14:textId="77777777" w:rsidR="00E15629" w:rsidRDefault="00E15629"/>
    <w:p w14:paraId="6A210018" w14:textId="48FB3CF0" w:rsidR="00E15629" w:rsidRPr="00A847E7" w:rsidRDefault="009321B2" w:rsidP="009321B2">
      <w:pPr>
        <w:pStyle w:val="Heading1"/>
      </w:pPr>
      <w:r>
        <w:t>Theoretical framework</w:t>
      </w:r>
    </w:p>
    <w:p w14:paraId="39EF70C2" w14:textId="51639489" w:rsidR="009A0931" w:rsidRDefault="009A0931" w:rsidP="003F6CB4">
      <w:r>
        <w:t xml:space="preserve">Klein and Gwaltney (1991) specified four </w:t>
      </w:r>
      <w:r w:rsidR="00A24C58">
        <w:t>level</w:t>
      </w:r>
      <w:r>
        <w:t xml:space="preserve">s of dissemination for education research innovations: </w:t>
      </w:r>
      <w:r w:rsidRPr="009A0931">
        <w:rPr>
          <w:i/>
        </w:rPr>
        <w:t>spread</w:t>
      </w:r>
      <w:r>
        <w:t xml:space="preserve"> for broad coverage; </w:t>
      </w:r>
      <w:r w:rsidRPr="009A0931">
        <w:rPr>
          <w:i/>
        </w:rPr>
        <w:t>choice</w:t>
      </w:r>
      <w:r>
        <w:t xml:space="preserve"> for providing information about an innovation to an audience; </w:t>
      </w:r>
      <w:r w:rsidRPr="009A0931">
        <w:rPr>
          <w:i/>
        </w:rPr>
        <w:t>exchange</w:t>
      </w:r>
      <w:r>
        <w:t xml:space="preserve"> for a more interactive presentation and discussion; and</w:t>
      </w:r>
      <w:r w:rsidRPr="009A0931">
        <w:rPr>
          <w:i/>
        </w:rPr>
        <w:t xml:space="preserve"> implementation</w:t>
      </w:r>
      <w:r>
        <w:t xml:space="preserve"> for ongoing, personalised support to individuals. Hutchinson and Huberman (1994) exemplified these d</w:t>
      </w:r>
      <w:r w:rsidR="00C47AB3">
        <w:t>issemination types</w:t>
      </w:r>
      <w:r w:rsidR="00B001C2">
        <w:t xml:space="preserve"> with activities typically associated with them</w:t>
      </w:r>
      <w:r w:rsidR="00C47AB3">
        <w:t xml:space="preserve"> (see Table 1</w:t>
      </w:r>
      <w:r>
        <w:t xml:space="preserve">). </w:t>
      </w:r>
      <w:r w:rsidR="00B001C2">
        <w:t xml:space="preserve">The increase in interactivity at each level of dissemination between the research team and the target audience is apparent, as is the decreasing size of the potential audience. </w:t>
      </w:r>
    </w:p>
    <w:p w14:paraId="490443D5" w14:textId="77777777" w:rsidR="00C47AB3" w:rsidRDefault="00C47AB3" w:rsidP="003F6CB4"/>
    <w:tbl>
      <w:tblPr>
        <w:tblStyle w:val="TableGrid"/>
        <w:tblW w:w="0" w:type="auto"/>
        <w:tblLook w:val="04A0" w:firstRow="1" w:lastRow="0" w:firstColumn="1" w:lastColumn="0" w:noHBand="0" w:noVBand="1"/>
      </w:tblPr>
      <w:tblGrid>
        <w:gridCol w:w="3964"/>
        <w:gridCol w:w="5052"/>
      </w:tblGrid>
      <w:tr w:rsidR="00213E76" w14:paraId="400553A7" w14:textId="77777777" w:rsidTr="002E394C">
        <w:tc>
          <w:tcPr>
            <w:tcW w:w="3964" w:type="dxa"/>
          </w:tcPr>
          <w:p w14:paraId="218630C3" w14:textId="77777777" w:rsidR="002E394C" w:rsidRDefault="00213E76" w:rsidP="003F6CB4">
            <w:pPr>
              <w:rPr>
                <w:b/>
              </w:rPr>
            </w:pPr>
            <w:r w:rsidRPr="002E394C">
              <w:rPr>
                <w:b/>
              </w:rPr>
              <w:t>Dissemination type</w:t>
            </w:r>
          </w:p>
          <w:p w14:paraId="2A49A800" w14:textId="5B67D1E7" w:rsidR="00213E76" w:rsidRPr="002E394C" w:rsidRDefault="009D1549" w:rsidP="003F6CB4">
            <w:pPr>
              <w:rPr>
                <w:b/>
              </w:rPr>
            </w:pPr>
            <w:r>
              <w:rPr>
                <w:b/>
              </w:rPr>
              <w:t xml:space="preserve"> (Klein and Gwaltney</w:t>
            </w:r>
            <w:r w:rsidR="00213E76" w:rsidRPr="002E394C">
              <w:rPr>
                <w:b/>
              </w:rPr>
              <w:t xml:space="preserve"> 1991)</w:t>
            </w:r>
          </w:p>
        </w:tc>
        <w:tc>
          <w:tcPr>
            <w:tcW w:w="5052" w:type="dxa"/>
          </w:tcPr>
          <w:p w14:paraId="37E24B51" w14:textId="77777777" w:rsidR="002E394C" w:rsidRDefault="00213E76" w:rsidP="003F6CB4">
            <w:pPr>
              <w:rPr>
                <w:b/>
              </w:rPr>
            </w:pPr>
            <w:r w:rsidRPr="002E394C">
              <w:rPr>
                <w:b/>
              </w:rPr>
              <w:t xml:space="preserve">Dissemination activity </w:t>
            </w:r>
          </w:p>
          <w:p w14:paraId="66BEC7D6" w14:textId="65FC3C57" w:rsidR="00213E76" w:rsidRPr="002E394C" w:rsidRDefault="009D1549" w:rsidP="003F6CB4">
            <w:pPr>
              <w:rPr>
                <w:b/>
              </w:rPr>
            </w:pPr>
            <w:r>
              <w:rPr>
                <w:b/>
              </w:rPr>
              <w:t>(Hutchinson and Huberman</w:t>
            </w:r>
            <w:r w:rsidR="00213E76" w:rsidRPr="002E394C">
              <w:rPr>
                <w:b/>
              </w:rPr>
              <w:t xml:space="preserve"> 1994)</w:t>
            </w:r>
          </w:p>
        </w:tc>
      </w:tr>
      <w:tr w:rsidR="00213E76" w14:paraId="21644330" w14:textId="77777777" w:rsidTr="002E394C">
        <w:tc>
          <w:tcPr>
            <w:tcW w:w="3964" w:type="dxa"/>
          </w:tcPr>
          <w:p w14:paraId="276711A0" w14:textId="5B8FA5B5" w:rsidR="002E394C" w:rsidRDefault="00213E76" w:rsidP="003F6CB4">
            <w:r>
              <w:t>Spread</w:t>
            </w:r>
          </w:p>
        </w:tc>
        <w:tc>
          <w:tcPr>
            <w:tcW w:w="5052" w:type="dxa"/>
          </w:tcPr>
          <w:p w14:paraId="381BE671" w14:textId="2DC53F22" w:rsidR="00213E76" w:rsidRDefault="00B53FFD" w:rsidP="003F6CB4">
            <w:r>
              <w:t>Posters, fliers, mail</w:t>
            </w:r>
          </w:p>
        </w:tc>
      </w:tr>
      <w:tr w:rsidR="00213E76" w14:paraId="4B8AA8BA" w14:textId="77777777" w:rsidTr="002E394C">
        <w:tc>
          <w:tcPr>
            <w:tcW w:w="3964" w:type="dxa"/>
          </w:tcPr>
          <w:p w14:paraId="1E723C84" w14:textId="0060B4E3" w:rsidR="002E394C" w:rsidRDefault="00213E76" w:rsidP="003F6CB4">
            <w:r>
              <w:t>Choice</w:t>
            </w:r>
          </w:p>
        </w:tc>
        <w:tc>
          <w:tcPr>
            <w:tcW w:w="5052" w:type="dxa"/>
          </w:tcPr>
          <w:p w14:paraId="1F8850A6" w14:textId="20329D85" w:rsidR="00213E76" w:rsidRDefault="00B53FFD" w:rsidP="003F6CB4">
            <w:r>
              <w:t>Conference key note speeches, large events</w:t>
            </w:r>
          </w:p>
        </w:tc>
      </w:tr>
      <w:tr w:rsidR="00213E76" w14:paraId="575B5BE3" w14:textId="77777777" w:rsidTr="002E394C">
        <w:tc>
          <w:tcPr>
            <w:tcW w:w="3964" w:type="dxa"/>
          </w:tcPr>
          <w:p w14:paraId="2177B8CB" w14:textId="43419EFD" w:rsidR="002E394C" w:rsidRDefault="00213E76" w:rsidP="003F6CB4">
            <w:r>
              <w:t>Exchange</w:t>
            </w:r>
          </w:p>
        </w:tc>
        <w:tc>
          <w:tcPr>
            <w:tcW w:w="5052" w:type="dxa"/>
          </w:tcPr>
          <w:p w14:paraId="08F919B1" w14:textId="01FCE3AF" w:rsidR="00213E76" w:rsidRDefault="00B53FFD" w:rsidP="003F6CB4">
            <w:r>
              <w:t>Workshops or seminars</w:t>
            </w:r>
          </w:p>
        </w:tc>
      </w:tr>
      <w:tr w:rsidR="00213E76" w14:paraId="3D4DE9BD" w14:textId="77777777" w:rsidTr="002E394C">
        <w:tc>
          <w:tcPr>
            <w:tcW w:w="3964" w:type="dxa"/>
          </w:tcPr>
          <w:p w14:paraId="2CF943CC" w14:textId="2C1D7E97" w:rsidR="002E394C" w:rsidRDefault="00B53FFD" w:rsidP="003F6CB4">
            <w:r>
              <w:t>Implementation</w:t>
            </w:r>
          </w:p>
        </w:tc>
        <w:tc>
          <w:tcPr>
            <w:tcW w:w="5052" w:type="dxa"/>
          </w:tcPr>
          <w:p w14:paraId="71AAB77B" w14:textId="3D3531B3" w:rsidR="00213E76" w:rsidRDefault="00B53FFD" w:rsidP="003F6CB4">
            <w:r>
              <w:t>One-to-one tailored support, mentoring</w:t>
            </w:r>
          </w:p>
        </w:tc>
      </w:tr>
    </w:tbl>
    <w:p w14:paraId="0820F4FB" w14:textId="64875C2D" w:rsidR="00213E76" w:rsidRDefault="00C47AB3" w:rsidP="000D5286">
      <w:pPr>
        <w:pStyle w:val="Tabletitle"/>
      </w:pPr>
      <w:r w:rsidRPr="00C47AB3">
        <w:t xml:space="preserve">Table 1: </w:t>
      </w:r>
      <w:r w:rsidR="00462562">
        <w:t xml:space="preserve">table to show </w:t>
      </w:r>
      <w:r w:rsidRPr="00C47AB3">
        <w:t>dissemination types and associated activities</w:t>
      </w:r>
      <w:r w:rsidR="00462562">
        <w:t xml:space="preserve"> for educational research innovations</w:t>
      </w:r>
    </w:p>
    <w:p w14:paraId="23053117" w14:textId="77777777" w:rsidR="00C47AB3" w:rsidRPr="00C47AB3" w:rsidRDefault="00C47AB3" w:rsidP="003F6CB4">
      <w:pPr>
        <w:rPr>
          <w:sz w:val="20"/>
          <w:szCs w:val="20"/>
        </w:rPr>
      </w:pPr>
    </w:p>
    <w:p w14:paraId="394BF302" w14:textId="7088E232" w:rsidR="00B001C2" w:rsidRPr="001D4A1D" w:rsidRDefault="00B001C2" w:rsidP="003F6CB4">
      <w:pPr>
        <w:rPr>
          <w:color w:val="000000" w:themeColor="text1"/>
        </w:rPr>
      </w:pPr>
      <w:r w:rsidRPr="001D4A1D">
        <w:rPr>
          <w:color w:val="000000" w:themeColor="text1"/>
        </w:rPr>
        <w:lastRenderedPageBreak/>
        <w:t>While the authors acknowledge the more recent efforts of King (2003) in simplifying the levels of dissemination to three, we have nevertheless chosen the Klein and Gwaltney model</w:t>
      </w:r>
      <w:r w:rsidR="00A24C58" w:rsidRPr="001D4A1D">
        <w:rPr>
          <w:color w:val="000000" w:themeColor="text1"/>
        </w:rPr>
        <w:t xml:space="preserve"> </w:t>
      </w:r>
      <w:r w:rsidRPr="001D4A1D">
        <w:rPr>
          <w:color w:val="000000" w:themeColor="text1"/>
        </w:rPr>
        <w:t xml:space="preserve">for its consideration of a qualitative difference between the interactivity of smaller and larger events. The four levels of dissemination specified by Klein and Gwaltney have thus been used to probe the possible difference between the larger dissemination events in this study, where dissemination for </w:t>
      </w:r>
      <w:r w:rsidRPr="001D4A1D">
        <w:rPr>
          <w:i/>
          <w:color w:val="000000" w:themeColor="text1"/>
        </w:rPr>
        <w:t>choice</w:t>
      </w:r>
      <w:r w:rsidRPr="001D4A1D">
        <w:rPr>
          <w:color w:val="000000" w:themeColor="text1"/>
        </w:rPr>
        <w:t xml:space="preserve"> is possible, and small or medium events, where dissemination for </w:t>
      </w:r>
      <w:r w:rsidRPr="001D4A1D">
        <w:rPr>
          <w:i/>
          <w:color w:val="000000" w:themeColor="text1"/>
        </w:rPr>
        <w:t xml:space="preserve">exchange </w:t>
      </w:r>
      <w:r w:rsidRPr="001D4A1D">
        <w:rPr>
          <w:color w:val="000000" w:themeColor="text1"/>
        </w:rPr>
        <w:t xml:space="preserve">might take place.  </w:t>
      </w:r>
    </w:p>
    <w:p w14:paraId="7FDE26E8" w14:textId="77777777" w:rsidR="00935B0C" w:rsidRPr="001D4A1D" w:rsidRDefault="00935B0C" w:rsidP="003F6CB4">
      <w:pPr>
        <w:rPr>
          <w:color w:val="000000" w:themeColor="text1"/>
        </w:rPr>
      </w:pPr>
    </w:p>
    <w:p w14:paraId="338DF4DB" w14:textId="271B2FCF" w:rsidR="00B53FFD" w:rsidRDefault="00B001C2" w:rsidP="003F6CB4">
      <w:r w:rsidRPr="001D4A1D">
        <w:rPr>
          <w:color w:val="000000" w:themeColor="text1"/>
        </w:rPr>
        <w:t>W</w:t>
      </w:r>
      <w:r w:rsidR="00B53FFD" w:rsidRPr="001D4A1D">
        <w:rPr>
          <w:color w:val="000000" w:themeColor="text1"/>
        </w:rPr>
        <w:t xml:space="preserve">orking on the assumption that teachers’ knowledge is socially constructed through discussion </w:t>
      </w:r>
      <w:r w:rsidR="009D1549" w:rsidRPr="001D4A1D">
        <w:rPr>
          <w:color w:val="000000" w:themeColor="text1"/>
        </w:rPr>
        <w:t>of practice with peers</w:t>
      </w:r>
      <w:r w:rsidR="000C4DE1" w:rsidRPr="001D4A1D">
        <w:rPr>
          <w:color w:val="000000" w:themeColor="text1"/>
        </w:rPr>
        <w:t xml:space="preserve"> (Mercer and Howe 2012)</w:t>
      </w:r>
      <w:r w:rsidR="00584897" w:rsidRPr="001D4A1D">
        <w:rPr>
          <w:color w:val="000000" w:themeColor="text1"/>
        </w:rPr>
        <w:t xml:space="preserve"> </w:t>
      </w:r>
      <w:r w:rsidR="00B53FFD" w:rsidRPr="001D4A1D">
        <w:rPr>
          <w:color w:val="000000" w:themeColor="text1"/>
        </w:rPr>
        <w:t xml:space="preserve">and that </w:t>
      </w:r>
      <w:r w:rsidR="00B53FFD" w:rsidRPr="00640659">
        <w:t>dissemination events are a</w:t>
      </w:r>
      <w:r>
        <w:t xml:space="preserve"> potential forum for this type of</w:t>
      </w:r>
      <w:r w:rsidR="00B53FFD" w:rsidRPr="00640659">
        <w:t xml:space="preserve"> social learning opp</w:t>
      </w:r>
      <w:r w:rsidR="009D1549">
        <w:t>ortunity</w:t>
      </w:r>
      <w:r w:rsidR="004B738F">
        <w:t xml:space="preserve"> (Hutchinson and Huberman 1994)</w:t>
      </w:r>
      <w:r w:rsidR="00B53FFD" w:rsidRPr="00640659">
        <w:t>, we contend</w:t>
      </w:r>
      <w:r w:rsidR="00B53FFD">
        <w:t xml:space="preserve"> </w:t>
      </w:r>
      <w:r w:rsidR="00B53FFD" w:rsidRPr="00640659">
        <w:t xml:space="preserve">that teachers attending dissemination events where the </w:t>
      </w:r>
      <w:r w:rsidR="00EC1704">
        <w:t>TAPS Pyramid</w:t>
      </w:r>
      <w:r w:rsidR="00B53FFD" w:rsidRPr="00640659">
        <w:t xml:space="preserve"> was presented are more likely to ha</w:t>
      </w:r>
      <w:r w:rsidR="00B53FFD">
        <w:t xml:space="preserve">ve reached a deeper level of understanding of </w:t>
      </w:r>
      <w:r>
        <w:t xml:space="preserve">its possible application to their practice </w:t>
      </w:r>
      <w:r w:rsidR="00B53FFD" w:rsidRPr="00640659">
        <w:t>than those who found it online</w:t>
      </w:r>
      <w:r w:rsidR="00B53FFD">
        <w:t>. Such</w:t>
      </w:r>
      <w:r w:rsidR="002E394C">
        <w:t xml:space="preserve"> enhanced</w:t>
      </w:r>
      <w:r w:rsidR="00B53FFD">
        <w:t xml:space="preserve"> understanding could manifest as downloading the res</w:t>
      </w:r>
      <w:r w:rsidR="00584897">
        <w:t>earch innovation for use in their setting</w:t>
      </w:r>
      <w:r w:rsidR="00B53FFD">
        <w:t>.</w:t>
      </w:r>
      <w:r>
        <w:t xml:space="preserve"> As such, we would expect to see an increase in download activity linked to dissemination events held to promote the TAPS pyramid. </w:t>
      </w:r>
    </w:p>
    <w:p w14:paraId="6931E79C" w14:textId="3A8F4DD3" w:rsidR="000A7E54" w:rsidRDefault="000A7E54" w:rsidP="003F6CB4"/>
    <w:p w14:paraId="4AA240E8" w14:textId="77777777" w:rsidR="000A7E54" w:rsidRPr="009A0931" w:rsidRDefault="000A7E54" w:rsidP="000A7E54">
      <w:pPr>
        <w:pStyle w:val="Heading2"/>
      </w:pPr>
      <w:r w:rsidRPr="009A0931">
        <w:t>Research Questions</w:t>
      </w:r>
    </w:p>
    <w:p w14:paraId="4DA0DC3F" w14:textId="244666B0" w:rsidR="000A7E54" w:rsidRDefault="000A7E54" w:rsidP="000A7E54">
      <w:r>
        <w:t>Th</w:t>
      </w:r>
      <w:r w:rsidR="00B001C2">
        <w:t>is study therefore seeks to answer the following research questions about the</w:t>
      </w:r>
      <w:r w:rsidR="00727417">
        <w:t xml:space="preserve"> possible interaction between online and event modes in the</w:t>
      </w:r>
      <w:r w:rsidR="00B001C2">
        <w:t xml:space="preserve"> bimodal dissemination strategy pursued by the TAPS project team:</w:t>
      </w:r>
    </w:p>
    <w:p w14:paraId="2F2E402B" w14:textId="1F443018" w:rsidR="000A7E54" w:rsidRDefault="000A7E54" w:rsidP="000A7E54">
      <w:pPr>
        <w:pStyle w:val="ListParagraph"/>
        <w:numPr>
          <w:ilvl w:val="0"/>
          <w:numId w:val="2"/>
        </w:numPr>
      </w:pPr>
      <w:r>
        <w:t xml:space="preserve">What relationship </w:t>
      </w:r>
      <w:r w:rsidR="00B001C2">
        <w:t>might exist</w:t>
      </w:r>
      <w:r>
        <w:t xml:space="preserve"> between the </w:t>
      </w:r>
      <w:r w:rsidR="00727417">
        <w:t>presence of</w:t>
      </w:r>
      <w:r>
        <w:t xml:space="preserve"> dissemination events in </w:t>
      </w:r>
      <w:r w:rsidR="00727417">
        <w:t>a geographical region</w:t>
      </w:r>
      <w:r>
        <w:t xml:space="preserve"> and the number of downloads</w:t>
      </w:r>
      <w:r w:rsidR="00727417">
        <w:t xml:space="preserve"> in the same region</w:t>
      </w:r>
      <w:r>
        <w:t>?</w:t>
      </w:r>
    </w:p>
    <w:p w14:paraId="1C607EF3" w14:textId="1176B073" w:rsidR="000A7E54" w:rsidRDefault="000A7E54" w:rsidP="000A7E54">
      <w:pPr>
        <w:pStyle w:val="ListParagraph"/>
        <w:numPr>
          <w:ilvl w:val="0"/>
          <w:numId w:val="2"/>
        </w:numPr>
      </w:pPr>
      <w:r>
        <w:lastRenderedPageBreak/>
        <w:t xml:space="preserve">What relationship </w:t>
      </w:r>
      <w:r w:rsidR="00B001C2">
        <w:t>might exist</w:t>
      </w:r>
      <w:r>
        <w:t xml:space="preserve"> between the </w:t>
      </w:r>
      <w:r w:rsidR="00727417">
        <w:t xml:space="preserve">audience </w:t>
      </w:r>
      <w:r>
        <w:t xml:space="preserve">size </w:t>
      </w:r>
      <w:r w:rsidR="00727417">
        <w:t>at</w:t>
      </w:r>
      <w:r>
        <w:t xml:space="preserve"> the dissemination events held </w:t>
      </w:r>
      <w:r w:rsidR="00727417">
        <w:t xml:space="preserve">in a geographical region </w:t>
      </w:r>
      <w:r>
        <w:t xml:space="preserve">and the number of downloads in </w:t>
      </w:r>
      <w:r w:rsidR="00727417">
        <w:t>the same region</w:t>
      </w:r>
      <w:r>
        <w:t>?</w:t>
      </w:r>
    </w:p>
    <w:p w14:paraId="115BDC1C" w14:textId="49E9DCE9" w:rsidR="00935B0C" w:rsidRPr="001D4A1D" w:rsidRDefault="00935B0C" w:rsidP="000A7E54">
      <w:pPr>
        <w:pStyle w:val="ListParagraph"/>
        <w:numPr>
          <w:ilvl w:val="0"/>
          <w:numId w:val="2"/>
        </w:numPr>
        <w:rPr>
          <w:color w:val="000000" w:themeColor="text1"/>
        </w:rPr>
      </w:pPr>
      <w:r w:rsidRPr="001D4A1D">
        <w:rPr>
          <w:color w:val="000000" w:themeColor="text1"/>
        </w:rPr>
        <w:t xml:space="preserve">What </w:t>
      </w:r>
      <w:r w:rsidR="00A24C58" w:rsidRPr="001D4A1D">
        <w:rPr>
          <w:color w:val="000000" w:themeColor="text1"/>
        </w:rPr>
        <w:t>is the relative value</w:t>
      </w:r>
      <w:r w:rsidRPr="001D4A1D">
        <w:rPr>
          <w:color w:val="000000" w:themeColor="text1"/>
        </w:rPr>
        <w:t xml:space="preserve"> of dissemination online and dissemination by event within a bimodal dissemination strategy?</w:t>
      </w:r>
    </w:p>
    <w:p w14:paraId="157A37E4" w14:textId="13FEFA62" w:rsidR="00E15629" w:rsidRDefault="00E15629" w:rsidP="00E15629"/>
    <w:p w14:paraId="3EE9C5C3" w14:textId="75A6DAAA" w:rsidR="00561D39" w:rsidRPr="009A0931" w:rsidRDefault="009321B2" w:rsidP="009321B2">
      <w:pPr>
        <w:pStyle w:val="Heading1"/>
      </w:pPr>
      <w:r>
        <w:t>Method</w:t>
      </w:r>
      <w:r w:rsidR="004B738F">
        <w:t>s</w:t>
      </w:r>
    </w:p>
    <w:p w14:paraId="2A81483F" w14:textId="27D77B62" w:rsidR="00AE5A7F" w:rsidRPr="009A0931" w:rsidRDefault="00AE5A7F" w:rsidP="00CB55E8">
      <w:pPr>
        <w:pStyle w:val="Heading2"/>
      </w:pPr>
      <w:r w:rsidRPr="009A0931">
        <w:t>Data Sources</w:t>
      </w:r>
    </w:p>
    <w:p w14:paraId="6B67CAC6" w14:textId="730FC487" w:rsidR="001F2960" w:rsidRDefault="001F2960" w:rsidP="001F2960">
      <w:r>
        <w:t>This study uses quantitative data for the period 1</w:t>
      </w:r>
      <w:r w:rsidRPr="00494002">
        <w:rPr>
          <w:vertAlign w:val="superscript"/>
        </w:rPr>
        <w:t>st</w:t>
      </w:r>
      <w:r>
        <w:t xml:space="preserve"> August 2015 to 31</w:t>
      </w:r>
      <w:r w:rsidRPr="00494002">
        <w:rPr>
          <w:vertAlign w:val="superscript"/>
        </w:rPr>
        <w:t>st</w:t>
      </w:r>
      <w:r>
        <w:t xml:space="preserve"> July 2016 collected from t</w:t>
      </w:r>
      <w:r w:rsidR="004B738F">
        <w:t>wo</w:t>
      </w:r>
      <w:r>
        <w:t xml:space="preserve"> sources: </w:t>
      </w:r>
    </w:p>
    <w:p w14:paraId="07DAF6C2" w14:textId="335B887D" w:rsidR="001F2960" w:rsidRDefault="001F2960" w:rsidP="001F2960">
      <w:pPr>
        <w:pStyle w:val="ListParagraph"/>
        <w:numPr>
          <w:ilvl w:val="0"/>
          <w:numId w:val="5"/>
        </w:numPr>
      </w:pPr>
      <w:r>
        <w:t xml:space="preserve">frequency and location data for </w:t>
      </w:r>
      <w:r w:rsidR="00EC1704">
        <w:t>TAPS Pyramid</w:t>
      </w:r>
      <w:r>
        <w:t xml:space="preserve"> downloads from the </w:t>
      </w:r>
      <w:r w:rsidR="004B738F">
        <w:t>hosting website</w:t>
      </w:r>
    </w:p>
    <w:p w14:paraId="09D1918E" w14:textId="69AE607D" w:rsidR="001F2960" w:rsidRDefault="001F2960" w:rsidP="004B738F">
      <w:pPr>
        <w:pStyle w:val="ListParagraph"/>
        <w:numPr>
          <w:ilvl w:val="0"/>
          <w:numId w:val="5"/>
        </w:numPr>
      </w:pPr>
      <w:r>
        <w:t xml:space="preserve">location, date and audience data for known </w:t>
      </w:r>
      <w:r w:rsidR="00EC1704">
        <w:t>TAPS Pyramid</w:t>
      </w:r>
      <w:r w:rsidR="00D2531F">
        <w:t xml:space="preserve"> </w:t>
      </w:r>
      <w:r>
        <w:t>dissemination</w:t>
      </w:r>
      <w:r w:rsidR="003D7E96">
        <w:t xml:space="preserve"> events held within the UK</w:t>
      </w:r>
    </w:p>
    <w:p w14:paraId="2A98E016" w14:textId="34D71875" w:rsidR="00570DAF" w:rsidRDefault="003F6CB4" w:rsidP="000D5286">
      <w:pPr>
        <w:pStyle w:val="Paragraph"/>
        <w:rPr>
          <w:rFonts w:eastAsiaTheme="minorHAnsi"/>
          <w:lang w:eastAsia="en-US"/>
        </w:rPr>
      </w:pPr>
      <w:r w:rsidRPr="003F6CB4">
        <w:rPr>
          <w:rFonts w:eastAsiaTheme="minorHAnsi"/>
          <w:lang w:eastAsia="en-US"/>
        </w:rPr>
        <w:t xml:space="preserve">The methods of data collection and analysis for </w:t>
      </w:r>
      <w:r w:rsidR="004B738F">
        <w:rPr>
          <w:rFonts w:eastAsiaTheme="minorHAnsi"/>
          <w:lang w:eastAsia="en-US"/>
        </w:rPr>
        <w:t>these</w:t>
      </w:r>
      <w:r w:rsidRPr="003F6CB4">
        <w:rPr>
          <w:rFonts w:eastAsiaTheme="minorHAnsi"/>
          <w:lang w:eastAsia="en-US"/>
        </w:rPr>
        <w:t xml:space="preserve"> data sets is described </w:t>
      </w:r>
      <w:r w:rsidR="004B738F">
        <w:rPr>
          <w:rFonts w:eastAsiaTheme="minorHAnsi"/>
          <w:lang w:eastAsia="en-US"/>
        </w:rPr>
        <w:t>below</w:t>
      </w:r>
      <w:r w:rsidRPr="003F6CB4">
        <w:rPr>
          <w:rFonts w:eastAsiaTheme="minorHAnsi"/>
          <w:lang w:eastAsia="en-US"/>
        </w:rPr>
        <w:t>.</w:t>
      </w:r>
    </w:p>
    <w:p w14:paraId="76BD78BD" w14:textId="77777777" w:rsidR="004B738F" w:rsidRDefault="004B738F" w:rsidP="004B738F">
      <w:pPr>
        <w:pStyle w:val="Newparagraph"/>
        <w:ind w:firstLine="0"/>
        <w:rPr>
          <w:rFonts w:eastAsiaTheme="minorHAnsi"/>
          <w:b/>
          <w:i/>
          <w:lang w:eastAsia="en-US"/>
        </w:rPr>
      </w:pPr>
    </w:p>
    <w:p w14:paraId="59811DD4" w14:textId="77777777" w:rsidR="004B738F" w:rsidRPr="001D4A1D" w:rsidRDefault="004B738F" w:rsidP="004B738F">
      <w:pPr>
        <w:pStyle w:val="Newparagraph"/>
        <w:ind w:firstLine="0"/>
        <w:rPr>
          <w:rFonts w:eastAsiaTheme="minorHAnsi"/>
          <w:b/>
          <w:i/>
          <w:color w:val="000000" w:themeColor="text1"/>
          <w:lang w:eastAsia="en-US"/>
        </w:rPr>
      </w:pPr>
      <w:r w:rsidRPr="001D4A1D">
        <w:rPr>
          <w:rFonts w:eastAsiaTheme="minorHAnsi"/>
          <w:b/>
          <w:i/>
          <w:color w:val="000000" w:themeColor="text1"/>
          <w:lang w:eastAsia="en-US"/>
        </w:rPr>
        <w:t>Data collection</w:t>
      </w:r>
    </w:p>
    <w:p w14:paraId="678101F3" w14:textId="407B693D" w:rsidR="00561D39" w:rsidRPr="004B738F" w:rsidRDefault="00FA6A6C" w:rsidP="004B738F">
      <w:pPr>
        <w:pStyle w:val="Newparagraph"/>
        <w:ind w:firstLine="0"/>
        <w:rPr>
          <w:rFonts w:eastAsiaTheme="minorHAnsi"/>
          <w:b/>
          <w:i/>
          <w:lang w:eastAsia="en-US"/>
        </w:rPr>
      </w:pPr>
      <w:r w:rsidRPr="004B738F">
        <w:rPr>
          <w:i/>
        </w:rPr>
        <w:t>D</w:t>
      </w:r>
      <w:r w:rsidR="00561D39" w:rsidRPr="004B738F">
        <w:rPr>
          <w:i/>
        </w:rPr>
        <w:t>ownload data</w:t>
      </w:r>
    </w:p>
    <w:p w14:paraId="4032388F" w14:textId="1D4A1C66" w:rsidR="004B738F" w:rsidRDefault="007F1D92" w:rsidP="004B738F">
      <w:pPr>
        <w:pStyle w:val="Paragraph"/>
      </w:pPr>
      <w:r>
        <w:t>Evaluating the influence of dissemination events upon internet downloads of a research innovation is a hitherto unexplored area in the field of research. But researchers in the fields of economics and science have noted that creating public interest in research outputs increases internet views and</w:t>
      </w:r>
      <w:r w:rsidR="00B446FE">
        <w:t xml:space="preserve"> downloads (Winkelman et al.</w:t>
      </w:r>
      <w:r w:rsidR="009D1549">
        <w:t xml:space="preserve"> 2006; McKenzie and Özler</w:t>
      </w:r>
      <w:r w:rsidRPr="003F6CB4">
        <w:t xml:space="preserve"> 2011)</w:t>
      </w:r>
      <w:r w:rsidR="004B738F">
        <w:t xml:space="preserve">. Download counts </w:t>
      </w:r>
      <w:r w:rsidR="004B738F" w:rsidRPr="003F6CB4">
        <w:t>have</w:t>
      </w:r>
      <w:r w:rsidR="004B738F">
        <w:t xml:space="preserve"> recently</w:t>
      </w:r>
      <w:r w:rsidR="004B738F" w:rsidRPr="003F6CB4">
        <w:t xml:space="preserve"> been used successfully to represent the impact of research on a case by case basis (Plume and Kamals</w:t>
      </w:r>
      <w:r w:rsidR="004B738F">
        <w:t>ki 2014; Ball and Duke 2015), and</w:t>
      </w:r>
      <w:r w:rsidR="00554B3C">
        <w:t xml:space="preserve"> </w:t>
      </w:r>
      <w:r w:rsidRPr="003F6CB4">
        <w:t>Thelwall (2017) has used downloads as a useful indication of the potential user-base fo</w:t>
      </w:r>
      <w:r>
        <w:t>r a research innovation</w:t>
      </w:r>
      <w:r w:rsidR="00554B3C">
        <w:t xml:space="preserve">. </w:t>
      </w:r>
      <w:r w:rsidR="004B738F">
        <w:lastRenderedPageBreak/>
        <w:t xml:space="preserve">For this reason, a count of TAPS pyramid downloads has been used to measure the potential user base for the resource. By counting the downloads for the TAPS Pyramid in different administrational regions of the UK (henceforth referred to as </w:t>
      </w:r>
      <w:r w:rsidR="004B738F" w:rsidRPr="00570DAF">
        <w:rPr>
          <w:i/>
        </w:rPr>
        <w:t>counties</w:t>
      </w:r>
      <w:r w:rsidR="004B738F">
        <w:t xml:space="preserve">) over a specified time period, a figure for the potential user base in different parts of the UK was generated, and compared to the frequency and size of known dissemination events in the counties comprising those UK countries. </w:t>
      </w:r>
    </w:p>
    <w:p w14:paraId="1192752C" w14:textId="77777777" w:rsidR="0029016A" w:rsidRDefault="0029016A" w:rsidP="0029016A">
      <w:pPr>
        <w:pStyle w:val="Paragraph"/>
      </w:pPr>
      <w:r>
        <w:t>Third party software was used to collect spatial and temporal data for each download of the TAPS Pyramid. A reporting procedure that removed duplicate IP addresses for concurrent downloads was used to give a more accurate figure for individuals accessing and downloading the resource (Sullivan 2016). No identification of the person downloading the resource was possible from these data, so participant consent was not sought.</w:t>
      </w:r>
    </w:p>
    <w:p w14:paraId="08E3370A" w14:textId="0E311981" w:rsidR="0029016A" w:rsidRDefault="0029016A" w:rsidP="003E1EC2">
      <w:pPr>
        <w:pStyle w:val="Paragraph"/>
      </w:pPr>
      <w:r>
        <w:t xml:space="preserve">Accuracy of the data download was established by running the data collection and preparation procedure twice. </w:t>
      </w:r>
      <w:r w:rsidR="005F503B">
        <w:t>Downloads with no defined location were removed from the data before coding. Downloads with non-UK locations were coded by country and classified as International. All downloads made in the UK were then coded by country and county (administrative region)</w:t>
      </w:r>
      <w:r w:rsidR="00D87D95">
        <w:t xml:space="preserve"> using the</w:t>
      </w:r>
      <w:r w:rsidR="003A4C8E">
        <w:t xml:space="preserve"> ceremonial counties list in the</w:t>
      </w:r>
      <w:r w:rsidR="00D87D95">
        <w:t xml:space="preserve"> Lieutenancies Act (1997)</w:t>
      </w:r>
      <w:r w:rsidR="005F503B">
        <w:t>.</w:t>
      </w:r>
    </w:p>
    <w:p w14:paraId="2DF066E3" w14:textId="0E9333AD" w:rsidR="004B738F" w:rsidRDefault="004B738F" w:rsidP="004B738F">
      <w:pPr>
        <w:pStyle w:val="Paragraph"/>
      </w:pPr>
    </w:p>
    <w:p w14:paraId="7484E9CC" w14:textId="3BC78D81" w:rsidR="004B738F" w:rsidRDefault="004B738F" w:rsidP="004B738F">
      <w:pPr>
        <w:pStyle w:val="Newparagraph"/>
        <w:ind w:firstLine="0"/>
        <w:rPr>
          <w:i/>
        </w:rPr>
      </w:pPr>
      <w:r>
        <w:rPr>
          <w:i/>
        </w:rPr>
        <w:t>Dissemination e</w:t>
      </w:r>
      <w:r w:rsidRPr="004B738F">
        <w:rPr>
          <w:i/>
        </w:rPr>
        <w:t>vent data</w:t>
      </w:r>
    </w:p>
    <w:p w14:paraId="576FF2E0" w14:textId="4CDB44B5" w:rsidR="004B738F" w:rsidRDefault="004B738F" w:rsidP="004B738F">
      <w:pPr>
        <w:pStyle w:val="Paragraph"/>
      </w:pPr>
      <w:r>
        <w:t xml:space="preserve">Dissemination event data was requested from a population comprising the </w:t>
      </w:r>
      <w:r w:rsidR="001509D1">
        <w:t>TAPS project team</w:t>
      </w:r>
      <w:r>
        <w:t xml:space="preserve">, individuals within the </w:t>
      </w:r>
      <w:r w:rsidR="001509D1">
        <w:t>Primary Science Teaching Trust who funded the research and</w:t>
      </w:r>
      <w:r>
        <w:t xml:space="preserve"> who were known by the TAPS project lead to have disseminated the innovation, and </w:t>
      </w:r>
      <w:r w:rsidR="001509D1">
        <w:t>other primary science specialists known to the project lead</w:t>
      </w:r>
      <w:r>
        <w:t>.</w:t>
      </w:r>
      <w:r w:rsidR="001509D1">
        <w:t xml:space="preserve"> In total, twelve people were contacted.</w:t>
      </w:r>
      <w:r>
        <w:t xml:space="preserve"> Recipients were asked to supply the date, location and audience size of any event where they had presented the TAPS Pyramid to an audience of teachers. </w:t>
      </w:r>
      <w:r w:rsidR="001509D1">
        <w:t xml:space="preserve">Participation was voluntary and </w:t>
      </w:r>
      <w:r w:rsidR="001509D1">
        <w:lastRenderedPageBreak/>
        <w:t>those who chose to submit their data did so using a prepared spreadsheet.</w:t>
      </w:r>
    </w:p>
    <w:p w14:paraId="5D0CB11D" w14:textId="77777777" w:rsidR="0029016A" w:rsidRDefault="0029016A" w:rsidP="0029016A">
      <w:pPr>
        <w:pStyle w:val="Paragraph"/>
      </w:pPr>
      <w:r>
        <w:t>Each dissemination event was manually coded by county, date and audience size; these were defined as: small=1-25 attending; medium = 26- 50 attending, and large = 51 or more attending. The dissemination event data was compiled and checked twice to ensure accuracy.</w:t>
      </w:r>
    </w:p>
    <w:p w14:paraId="10FC17B3" w14:textId="77777777" w:rsidR="004B738F" w:rsidRPr="004B738F" w:rsidRDefault="004B738F" w:rsidP="003E1EC2">
      <w:pPr>
        <w:pStyle w:val="Newparagraph"/>
        <w:ind w:firstLine="0"/>
      </w:pPr>
    </w:p>
    <w:p w14:paraId="077A4D55" w14:textId="5C5D1F4C" w:rsidR="004B738F" w:rsidRPr="001D4A1D" w:rsidRDefault="0029016A" w:rsidP="000D5286">
      <w:pPr>
        <w:pStyle w:val="Paragraph"/>
        <w:rPr>
          <w:b/>
          <w:i/>
          <w:color w:val="000000" w:themeColor="text1"/>
        </w:rPr>
      </w:pPr>
      <w:r w:rsidRPr="001D4A1D">
        <w:rPr>
          <w:b/>
          <w:i/>
          <w:color w:val="000000" w:themeColor="text1"/>
        </w:rPr>
        <w:t>Analysis of the data</w:t>
      </w:r>
    </w:p>
    <w:p w14:paraId="5C31F0E6" w14:textId="7BFE95BB" w:rsidR="005F503B" w:rsidRPr="005F503B" w:rsidRDefault="005F503B" w:rsidP="005F503B">
      <w:pPr>
        <w:spacing w:line="276" w:lineRule="auto"/>
        <w:rPr>
          <w:i/>
        </w:rPr>
      </w:pPr>
      <w:r w:rsidRPr="005F503B">
        <w:rPr>
          <w:i/>
        </w:rPr>
        <w:t>Downloads</w:t>
      </w:r>
    </w:p>
    <w:p w14:paraId="2CE1A1DC" w14:textId="2CCE0D5D" w:rsidR="005F503B" w:rsidRDefault="005F503B" w:rsidP="005F503B">
      <w:pPr>
        <w:pStyle w:val="NoSpacing"/>
      </w:pPr>
    </w:p>
    <w:p w14:paraId="7A79EC3F" w14:textId="1DEA92D0" w:rsidR="005F503B" w:rsidRDefault="005F503B" w:rsidP="003E1EC2">
      <w:pPr>
        <w:pStyle w:val="Newparagraph"/>
        <w:ind w:firstLine="0"/>
      </w:pPr>
      <w:r w:rsidRPr="00AE5A7F">
        <w:t>134 international downloads of the TAPS pyramid were made in 45 different countries, comprising 4.8</w:t>
      </w:r>
      <w:r>
        <w:t>% of the total</w:t>
      </w:r>
      <w:r w:rsidRPr="00407EB1">
        <w:t>. By country, the most downloads were made in Spain (n=10), followed by Singapore (n=9) and the United Arab Emirates (n=9). In twenty of the forty-three countries, only one download was made. A table of the</w:t>
      </w:r>
      <w:r w:rsidR="00FB1433">
        <w:t xml:space="preserve"> International</w:t>
      </w:r>
      <w:r w:rsidRPr="00407EB1">
        <w:t xml:space="preserve"> results can be found in </w:t>
      </w:r>
      <w:r w:rsidRPr="003E1EC2">
        <w:t xml:space="preserve">Appendix </w:t>
      </w:r>
      <w:r w:rsidR="00FB1433">
        <w:t>2</w:t>
      </w:r>
      <w:r w:rsidR="003A4C8E">
        <w:t>.</w:t>
      </w:r>
      <w:r w:rsidR="00FB1433">
        <w:t xml:space="preserve"> </w:t>
      </w:r>
      <w:r w:rsidRPr="00D64593">
        <w:t>Once downloads with undefined locations (n=96) and those made outside of the UK (n=134) were removed</w:t>
      </w:r>
      <w:r w:rsidR="00FB1433">
        <w:t>,</w:t>
      </w:r>
      <w:r w:rsidRPr="00D64593">
        <w:t xml:space="preserve"> the total unique downloads for the TAPS pyramid during the year1</w:t>
      </w:r>
      <w:r w:rsidRPr="003E1EC2">
        <w:t>st</w:t>
      </w:r>
      <w:r w:rsidRPr="00D64593">
        <w:t xml:space="preserve"> August 2015 to 31</w:t>
      </w:r>
      <w:r w:rsidRPr="003E1EC2">
        <w:t>st</w:t>
      </w:r>
      <w:r w:rsidRPr="00D64593">
        <w:t xml:space="preserve"> July 2016 was </w:t>
      </w:r>
      <w:r w:rsidRPr="00FB1433">
        <w:rPr>
          <w:b/>
        </w:rPr>
        <w:t>2,764.</w:t>
      </w:r>
    </w:p>
    <w:p w14:paraId="783840E0" w14:textId="052B4E99" w:rsidR="005F503B" w:rsidRDefault="005F503B" w:rsidP="003E1EC2">
      <w:pPr>
        <w:pStyle w:val="Newparagraph"/>
        <w:ind w:firstLine="0"/>
      </w:pPr>
    </w:p>
    <w:p w14:paraId="130CF8CF" w14:textId="0D613436" w:rsidR="005F503B" w:rsidRPr="005F503B" w:rsidRDefault="00FB1433" w:rsidP="005F503B">
      <w:pPr>
        <w:pStyle w:val="Newparagraph"/>
        <w:ind w:firstLine="0"/>
      </w:pPr>
      <w:r>
        <w:t xml:space="preserve">Of the 2,764 downloads made in the UK during the specified time period, </w:t>
      </w:r>
      <w:r w:rsidR="005F503B">
        <w:t>97%</w:t>
      </w:r>
      <w:r w:rsidR="005F503B" w:rsidRPr="00D64593">
        <w:t xml:space="preserve"> took place in England (n=2675), with download activity in all but two of the 48 English counties. In Wales (n=37), download activity occurred in just over half of the Welsh counties, and in Scotland (n=37), download activity took place in less than one third of the Scottish counties. In Northern Ireland (n=15), download activity was found in less than half of the Northern Irish counties. </w:t>
      </w:r>
      <w:r w:rsidR="005F503B">
        <w:t xml:space="preserve">Given that 97% of the downloads occurred in England, the rest of the analysis concentrates on the interaction between downloads and dissemination events in </w:t>
      </w:r>
      <w:r>
        <w:t>this UK territory</w:t>
      </w:r>
      <w:r w:rsidR="005F503B">
        <w:t xml:space="preserve">. </w:t>
      </w:r>
    </w:p>
    <w:p w14:paraId="757E2F2F" w14:textId="48A67DBC" w:rsidR="00D91530" w:rsidRDefault="005F503B" w:rsidP="00561D39">
      <w:pPr>
        <w:rPr>
          <w:i/>
        </w:rPr>
      </w:pPr>
      <w:r w:rsidRPr="005F503B">
        <w:rPr>
          <w:i/>
        </w:rPr>
        <w:t>Dissemination events</w:t>
      </w:r>
    </w:p>
    <w:p w14:paraId="52966094" w14:textId="651CAFEA" w:rsidR="005F503B" w:rsidRDefault="005F503B" w:rsidP="005F503B">
      <w:pPr>
        <w:pStyle w:val="Paragraph"/>
      </w:pPr>
      <w:r w:rsidRPr="00095204">
        <w:lastRenderedPageBreak/>
        <w:t>51 dissemination events were recorded for this study. The vast majority (n=50) were held in England; the one remaining event was held in Northern Ireland.</w:t>
      </w:r>
      <w:r>
        <w:t xml:space="preserve"> </w:t>
      </w:r>
      <w:r w:rsidRPr="00095204">
        <w:rPr>
          <w:iCs/>
        </w:rPr>
        <w:t>Dissemination events were held in 21 of the 48 possible English counties.</w:t>
      </w:r>
      <w:r w:rsidRPr="00D64E1E">
        <w:rPr>
          <w:rStyle w:val="SubtleEmphasis"/>
        </w:rPr>
        <w:t xml:space="preserve"> </w:t>
      </w:r>
      <w:r w:rsidRPr="00D64E1E">
        <w:t>The</w:t>
      </w:r>
      <w:r>
        <w:t xml:space="preserve"> county where most dissemination events were held was Greater London where eight events were held, followed by Dorset, Wiltshire, Somerset, Gloucestershire and Devon, where four were held in each county. </w:t>
      </w:r>
    </w:p>
    <w:p w14:paraId="13810C1A" w14:textId="593840C4" w:rsidR="005F503B" w:rsidRDefault="005F503B" w:rsidP="005F503B">
      <w:pPr>
        <w:pStyle w:val="Paragraph"/>
      </w:pPr>
      <w:r>
        <w:t xml:space="preserve">Small dissemination events were held most often (n=28, mean attendance=12.2), followed by medium sized events (n=15, mean attendance=32.8) and large events (n=7, mean attendance=140). The mean attendance for large events was significantly higher than for either of the other size of events, due in part to two of those events having estimated audiences of 300 each. A table showing dissemination event location, date and audience size can be found in </w:t>
      </w:r>
      <w:r w:rsidR="00FB1433">
        <w:t>Appendix 3.</w:t>
      </w:r>
    </w:p>
    <w:p w14:paraId="58BA08ED" w14:textId="77777777" w:rsidR="005F503B" w:rsidRDefault="005F503B" w:rsidP="005F503B">
      <w:pPr>
        <w:pStyle w:val="Paragraph"/>
      </w:pPr>
      <w:r>
        <w:t xml:space="preserve">If the total audience figures are combined, 1817 people are known to have attended dissemination events for the TAPS Pyramid during the time period studied. Even if a one to one relationship between attending an event and making a download is assumed, this still does not explain the additional downloads recorded during the time period, suggesting that other factors are influencing download activity.  </w:t>
      </w:r>
    </w:p>
    <w:p w14:paraId="778BEDE9" w14:textId="77777777" w:rsidR="005F503B" w:rsidRPr="005F503B" w:rsidRDefault="005F503B" w:rsidP="005F503B">
      <w:pPr>
        <w:pStyle w:val="Newparagraph"/>
        <w:ind w:firstLine="0"/>
      </w:pPr>
    </w:p>
    <w:p w14:paraId="14BB074C" w14:textId="77777777" w:rsidR="005F503B" w:rsidRPr="005F503B" w:rsidRDefault="005F503B" w:rsidP="00561D39"/>
    <w:p w14:paraId="4946668D" w14:textId="77777777" w:rsidR="003E1EC2" w:rsidRDefault="003E1EC2" w:rsidP="008366B9">
      <w:pPr>
        <w:rPr>
          <w:i/>
        </w:rPr>
      </w:pPr>
    </w:p>
    <w:p w14:paraId="4013A7A9" w14:textId="04158971" w:rsidR="003E1EC2" w:rsidRPr="003E1EC2" w:rsidRDefault="003E1EC2" w:rsidP="008366B9">
      <w:pPr>
        <w:rPr>
          <w:i/>
        </w:rPr>
      </w:pPr>
      <w:r w:rsidRPr="003E1EC2">
        <w:rPr>
          <w:i/>
        </w:rPr>
        <w:t>Statistical analysis</w:t>
      </w:r>
    </w:p>
    <w:p w14:paraId="20BC2214" w14:textId="0E03BA6D" w:rsidR="008366B9" w:rsidRDefault="008366B9" w:rsidP="008366B9">
      <w:r>
        <w:t>The following hypotheses were generated to test whether some patterns identified in the data were of statistical significance:</w:t>
      </w:r>
    </w:p>
    <w:p w14:paraId="6C741069" w14:textId="77777777" w:rsidR="008366B9" w:rsidRDefault="008366B9" w:rsidP="008366B9">
      <w:pPr>
        <w:pStyle w:val="ListParagraph"/>
        <w:numPr>
          <w:ilvl w:val="0"/>
          <w:numId w:val="33"/>
        </w:numPr>
        <w:spacing w:after="160" w:line="259" w:lineRule="auto"/>
        <w:rPr>
          <w:lang w:eastAsia="es-ES_tradnl"/>
        </w:rPr>
      </w:pPr>
      <w:r>
        <w:rPr>
          <w:lang w:eastAsia="es-ES_tradnl"/>
        </w:rPr>
        <w:t xml:space="preserve">Hypothesis 1: </w:t>
      </w:r>
      <w:r w:rsidRPr="00C47AB3">
        <w:rPr>
          <w:lang w:eastAsia="es-ES_tradnl"/>
        </w:rPr>
        <w:t xml:space="preserve">Distribution of downloads </w:t>
      </w:r>
      <w:r>
        <w:rPr>
          <w:lang w:eastAsia="es-ES_tradnl"/>
        </w:rPr>
        <w:t>increases when dissemination</w:t>
      </w:r>
      <w:r w:rsidRPr="00C47AB3">
        <w:rPr>
          <w:lang w:eastAsia="es-ES_tradnl"/>
        </w:rPr>
        <w:t xml:space="preserve"> events </w:t>
      </w:r>
      <w:r>
        <w:rPr>
          <w:lang w:eastAsia="es-ES_tradnl"/>
        </w:rPr>
        <w:t xml:space="preserve">are </w:t>
      </w:r>
      <w:r w:rsidRPr="00C47AB3">
        <w:rPr>
          <w:lang w:eastAsia="es-ES_tradnl"/>
        </w:rPr>
        <w:t xml:space="preserve">held </w:t>
      </w:r>
      <w:r>
        <w:rPr>
          <w:lang w:eastAsia="es-ES_tradnl"/>
        </w:rPr>
        <w:t>in a county</w:t>
      </w:r>
    </w:p>
    <w:p w14:paraId="3BA6805C" w14:textId="77777777" w:rsidR="008366B9" w:rsidRDefault="008366B9" w:rsidP="008366B9">
      <w:pPr>
        <w:pStyle w:val="ListParagraph"/>
        <w:numPr>
          <w:ilvl w:val="0"/>
          <w:numId w:val="33"/>
        </w:numPr>
        <w:spacing w:after="160" w:line="259" w:lineRule="auto"/>
        <w:rPr>
          <w:lang w:eastAsia="es-ES_tradnl"/>
        </w:rPr>
      </w:pPr>
      <w:r>
        <w:rPr>
          <w:lang w:eastAsia="es-ES_tradnl"/>
        </w:rPr>
        <w:t xml:space="preserve">Hypothesis 2: </w:t>
      </w:r>
      <w:r w:rsidRPr="00C47AB3">
        <w:rPr>
          <w:lang w:eastAsia="es-ES_tradnl"/>
        </w:rPr>
        <w:t>Distribution of downloads is</w:t>
      </w:r>
      <w:r>
        <w:rPr>
          <w:lang w:eastAsia="es-ES_tradnl"/>
        </w:rPr>
        <w:t xml:space="preserve"> positively</w:t>
      </w:r>
      <w:r w:rsidRPr="00C47AB3">
        <w:rPr>
          <w:lang w:eastAsia="es-ES_tradnl"/>
        </w:rPr>
        <w:t xml:space="preserve"> affected by the frequency of </w:t>
      </w:r>
      <w:r>
        <w:rPr>
          <w:lang w:eastAsia="es-ES_tradnl"/>
        </w:rPr>
        <w:t xml:space="preserve">dissemination </w:t>
      </w:r>
      <w:r w:rsidRPr="00C47AB3">
        <w:rPr>
          <w:lang w:eastAsia="es-ES_tradnl"/>
        </w:rPr>
        <w:t>events</w:t>
      </w:r>
      <w:r>
        <w:rPr>
          <w:lang w:eastAsia="es-ES_tradnl"/>
        </w:rPr>
        <w:t xml:space="preserve"> held in a county</w:t>
      </w:r>
    </w:p>
    <w:p w14:paraId="7D9718C4" w14:textId="5E199507" w:rsidR="008366B9" w:rsidRDefault="008366B9" w:rsidP="008366B9">
      <w:pPr>
        <w:pStyle w:val="ListParagraph"/>
        <w:numPr>
          <w:ilvl w:val="0"/>
          <w:numId w:val="33"/>
        </w:numPr>
        <w:spacing w:after="160" w:line="259" w:lineRule="auto"/>
        <w:rPr>
          <w:lang w:eastAsia="es-ES_tradnl"/>
        </w:rPr>
      </w:pPr>
      <w:r>
        <w:rPr>
          <w:lang w:eastAsia="es-ES_tradnl"/>
        </w:rPr>
        <w:lastRenderedPageBreak/>
        <w:t xml:space="preserve">Hypothesis 3: </w:t>
      </w:r>
      <w:r w:rsidRPr="00C47AB3">
        <w:rPr>
          <w:lang w:eastAsia="es-ES_tradnl"/>
        </w:rPr>
        <w:t>Distribution of downloads</w:t>
      </w:r>
      <w:r>
        <w:rPr>
          <w:lang w:eastAsia="es-ES_tradnl"/>
        </w:rPr>
        <w:t xml:space="preserve"> is</w:t>
      </w:r>
      <w:r w:rsidRPr="00C47AB3">
        <w:rPr>
          <w:lang w:eastAsia="es-ES_tradnl"/>
        </w:rPr>
        <w:t xml:space="preserve"> </w:t>
      </w:r>
      <w:r>
        <w:rPr>
          <w:lang w:eastAsia="es-ES_tradnl"/>
        </w:rPr>
        <w:t>different</w:t>
      </w:r>
      <w:r w:rsidRPr="00C47AB3">
        <w:rPr>
          <w:lang w:eastAsia="es-ES_tradnl"/>
        </w:rPr>
        <w:t xml:space="preserve"> across small-medium </w:t>
      </w:r>
      <w:r>
        <w:rPr>
          <w:lang w:eastAsia="es-ES_tradnl"/>
        </w:rPr>
        <w:t xml:space="preserve">sized </w:t>
      </w:r>
      <w:r w:rsidRPr="00C47AB3">
        <w:rPr>
          <w:lang w:eastAsia="es-ES_tradnl"/>
        </w:rPr>
        <w:t>and large events</w:t>
      </w:r>
      <w:r>
        <w:rPr>
          <w:lang w:eastAsia="es-ES_tradnl"/>
        </w:rPr>
        <w:t xml:space="preserve"> </w:t>
      </w:r>
    </w:p>
    <w:p w14:paraId="16770C68" w14:textId="77777777" w:rsidR="00FB1433" w:rsidRPr="004D50DA" w:rsidRDefault="00FB1433" w:rsidP="00FB1433">
      <w:pPr>
        <w:pStyle w:val="ListParagraph"/>
        <w:spacing w:after="160" w:line="259" w:lineRule="auto"/>
        <w:rPr>
          <w:lang w:eastAsia="es-ES_tradnl"/>
        </w:rPr>
      </w:pPr>
    </w:p>
    <w:p w14:paraId="12EB6666" w14:textId="776167AD" w:rsidR="00FB1433" w:rsidRDefault="008366B9" w:rsidP="00FB1433">
      <w:r w:rsidRPr="00D64593">
        <w:t xml:space="preserve">All statistical analyses were carried out using </w:t>
      </w:r>
      <w:r>
        <w:t xml:space="preserve">IBM </w:t>
      </w:r>
      <w:r w:rsidRPr="00D64593">
        <w:t>SPSS</w:t>
      </w:r>
      <w:r>
        <w:t xml:space="preserve"> version 22. </w:t>
      </w:r>
      <w:r w:rsidR="00A65F8E">
        <w:t>Non-p</w:t>
      </w:r>
      <w:r>
        <w:t>arametric tests were used in each instance, due to groups in the data containing less than thirty, thereby breaking the assumptions inherent in para metric testing</w:t>
      </w:r>
      <w:r w:rsidR="00FB1433">
        <w:t xml:space="preserve"> (Field 2015)</w:t>
      </w:r>
      <w:r>
        <w:t>.</w:t>
      </w:r>
      <w:r w:rsidR="00FB1433">
        <w:t xml:space="preserve"> </w:t>
      </w:r>
      <w:r w:rsidR="00FB1433" w:rsidRPr="00D64593">
        <w:t>Although non-parametric tests can be slightly less sensitive, this should be balanced against a reduced likelihood of committing a type 1 error when interpreting the results (Sheskin</w:t>
      </w:r>
      <w:r w:rsidR="002509C7">
        <w:t xml:space="preserve"> </w:t>
      </w:r>
      <w:r w:rsidR="00FB1433" w:rsidRPr="00D64593">
        <w:t xml:space="preserve">2004). </w:t>
      </w:r>
    </w:p>
    <w:p w14:paraId="289E251E" w14:textId="23CD3809" w:rsidR="008366B9" w:rsidRDefault="008366B9" w:rsidP="008366B9">
      <w:r>
        <w:t xml:space="preserve"> </w:t>
      </w:r>
    </w:p>
    <w:p w14:paraId="5602CAEF" w14:textId="61774FDD" w:rsidR="008366B9" w:rsidRDefault="008366B9" w:rsidP="008366B9">
      <w:r>
        <w:t xml:space="preserve">For hypothesis 1, the Mann-Whitney U test for independent samples was used to investigate the hypothesis that there would be a statistically significant increase in downloads in counties where dissemination events had also been held. This would be expected if dissemination events are a more effective way of communicating the value of research outputs to a target audience than online availability alone. </w:t>
      </w:r>
    </w:p>
    <w:p w14:paraId="1FB0204B" w14:textId="77777777" w:rsidR="003E1EC2" w:rsidRDefault="003E1EC2" w:rsidP="008366B9"/>
    <w:p w14:paraId="5995C36F" w14:textId="393FC99F" w:rsidR="00FB1433" w:rsidRDefault="008366B9" w:rsidP="008366B9">
      <w:r>
        <w:t xml:space="preserve">For hypothesis 2, the Kruskal-Wallis test for independent samples was used to investigate the hypothesis that there was a positive relationship between the number of dissemination events held in a county and the number of downloads made. This would be expected if Hypothesis 1 were true. The fact that there were more than two groups in the data made the Kruskal-Wallis test appropriate.  </w:t>
      </w:r>
    </w:p>
    <w:p w14:paraId="44302743" w14:textId="6BC40236" w:rsidR="008366B9" w:rsidRDefault="008366B9" w:rsidP="008366B9">
      <w:r>
        <w:rPr>
          <w:highlight w:val="yellow"/>
        </w:rPr>
        <w:t xml:space="preserve"> </w:t>
      </w:r>
    </w:p>
    <w:p w14:paraId="7BD015BF" w14:textId="552FF7BC" w:rsidR="00FB1433" w:rsidRDefault="008366B9" w:rsidP="008366B9">
      <w:r>
        <w:t xml:space="preserve">For hypothesis 3, the Mann-Whitney U Test for independent samples was used to investigate whether there was a significant increase in the number of downloads made in counties which held dissemination events with large audiences. This would be the case if there were no qualitative difference between smaller and larger events, the effectiveness of the </w:t>
      </w:r>
      <w:r>
        <w:lastRenderedPageBreak/>
        <w:t xml:space="preserve">dissemination event thereby being a function of the audience size, rather than the interactivity and discussion made possible by smaller sized events. </w:t>
      </w:r>
    </w:p>
    <w:p w14:paraId="2C3FB9A5" w14:textId="77777777" w:rsidR="00FB1433" w:rsidRDefault="00FB1433" w:rsidP="008366B9"/>
    <w:p w14:paraId="0962D78A" w14:textId="13D18B3B" w:rsidR="008366B9" w:rsidRDefault="008366B9" w:rsidP="008366B9">
      <w:r>
        <w:t xml:space="preserve">The median score was reported to indicate the central tendency as it is relatively unaffected by skewed distributions and extreme scores at either end of the data set. It is also considered more appropriate than reporting the mean for non-parametric tests (Field 2015). </w:t>
      </w:r>
    </w:p>
    <w:p w14:paraId="4F03EE19" w14:textId="77777777" w:rsidR="00FB1433" w:rsidRDefault="00FB1433" w:rsidP="008366B9">
      <w:pPr>
        <w:pStyle w:val="Heading3"/>
        <w:keepLines/>
        <w:numPr>
          <w:ilvl w:val="2"/>
          <w:numId w:val="0"/>
        </w:numPr>
        <w:spacing w:before="40" w:after="0" w:line="259" w:lineRule="auto"/>
        <w:ind w:left="720" w:right="0" w:hanging="720"/>
        <w:contextualSpacing w:val="0"/>
      </w:pPr>
      <w:bookmarkStart w:id="1" w:name="_Toc536100856"/>
    </w:p>
    <w:p w14:paraId="2BF1B37B" w14:textId="2248697F" w:rsidR="008366B9" w:rsidRPr="00D64593" w:rsidRDefault="008366B9" w:rsidP="008366B9">
      <w:pPr>
        <w:pStyle w:val="Heading3"/>
        <w:keepLines/>
        <w:numPr>
          <w:ilvl w:val="2"/>
          <w:numId w:val="0"/>
        </w:numPr>
        <w:spacing w:before="40" w:after="0" w:line="259" w:lineRule="auto"/>
        <w:ind w:left="720" w:right="0" w:hanging="720"/>
        <w:contextualSpacing w:val="0"/>
      </w:pPr>
      <w:r>
        <w:t>Preparation of the data</w:t>
      </w:r>
      <w:bookmarkEnd w:id="1"/>
    </w:p>
    <w:p w14:paraId="727F4E2C" w14:textId="10815619" w:rsidR="008366B9" w:rsidRDefault="008366B9" w:rsidP="008366B9">
      <w:r w:rsidRPr="00D64593">
        <w:t>In order to prevent outliers in the data from affecting the accuracy of the statistical models used for analysis, a winsorising procedure was used to substitute outlying values with the next highest value from the data set (Zimmerman 1995).</w:t>
      </w:r>
      <w:r>
        <w:t xml:space="preserve"> This was used in the case of download data for Greater London (n=574)</w:t>
      </w:r>
      <w:r w:rsidR="00FB1433">
        <w:t xml:space="preserve">. </w:t>
      </w:r>
      <w:r>
        <w:t>At almost four times the size of the next highest value</w:t>
      </w:r>
      <w:r w:rsidR="00FB1433">
        <w:t xml:space="preserve"> (n=144 for Hampshire)</w:t>
      </w:r>
      <w:r>
        <w:t xml:space="preserve">, it would have biased the statistical models used, providing erroneous support for the hypotheses being tested. For this reason, the value for London was corrected to n=145 in accordance with Zimmerman’s recommendations (ibid.) The download values for all of the counties can be found in </w:t>
      </w:r>
      <w:r w:rsidR="00FB1433">
        <w:t xml:space="preserve">Table 1 </w:t>
      </w:r>
      <w:r w:rsidRPr="0063753C">
        <w:t>in the Appendices.</w:t>
      </w:r>
      <w:r>
        <w:t xml:space="preserve"> </w:t>
      </w:r>
    </w:p>
    <w:p w14:paraId="18E6DBAF" w14:textId="4CD0AF49" w:rsidR="008366B9" w:rsidRDefault="008366B9" w:rsidP="008366B9">
      <w:r>
        <w:t xml:space="preserve">A winsorising procedure was also used to correct the value of dissemination events for Greater London from 8 to 5 (the next value after n=4 for Devon, Dorset, Somerset, Wiltshire and Gloucestershire). </w:t>
      </w:r>
    </w:p>
    <w:p w14:paraId="7CE151D1" w14:textId="77777777" w:rsidR="00FB1433" w:rsidRDefault="00FB1433" w:rsidP="008366B9"/>
    <w:p w14:paraId="6B86790D" w14:textId="77777777" w:rsidR="008366B9" w:rsidRDefault="008366B9" w:rsidP="008366B9">
      <w:pPr>
        <w:pStyle w:val="Heading2"/>
        <w:keepLines/>
        <w:numPr>
          <w:ilvl w:val="1"/>
          <w:numId w:val="0"/>
        </w:numPr>
        <w:spacing w:before="40" w:after="0" w:line="259" w:lineRule="auto"/>
        <w:ind w:left="576" w:right="0" w:hanging="576"/>
        <w:contextualSpacing w:val="0"/>
        <w:rPr>
          <w:lang w:eastAsia="es-ES_tradnl"/>
        </w:rPr>
      </w:pPr>
      <w:bookmarkStart w:id="2" w:name="_Toc536100857"/>
      <w:r>
        <w:rPr>
          <w:lang w:eastAsia="es-ES_tradnl"/>
        </w:rPr>
        <w:t>Results</w:t>
      </w:r>
      <w:bookmarkEnd w:id="2"/>
    </w:p>
    <w:p w14:paraId="20DED592" w14:textId="77777777" w:rsidR="008366B9" w:rsidRPr="00D64593" w:rsidRDefault="008366B9" w:rsidP="008366B9">
      <w:pPr>
        <w:rPr>
          <w:lang w:eastAsia="es-ES_tradnl"/>
        </w:rPr>
      </w:pPr>
      <w:r w:rsidRPr="00D64593">
        <w:rPr>
          <w:lang w:eastAsia="es-ES_tradnl"/>
        </w:rPr>
        <w:t xml:space="preserve">The results are summarised below. </w:t>
      </w:r>
    </w:p>
    <w:p w14:paraId="1FB4009B" w14:textId="77777777" w:rsidR="008366B9" w:rsidRPr="001D4A1D" w:rsidRDefault="008366B9" w:rsidP="008366B9">
      <w:pPr>
        <w:rPr>
          <w:i/>
          <w:color w:val="000000" w:themeColor="text1"/>
        </w:rPr>
      </w:pPr>
      <w:r w:rsidRPr="001D4A1D">
        <w:rPr>
          <w:i/>
          <w:color w:val="000000" w:themeColor="text1"/>
        </w:rPr>
        <w:t xml:space="preserve">Hypothesis 1: </w:t>
      </w:r>
      <w:r w:rsidRPr="001D4A1D">
        <w:rPr>
          <w:i/>
          <w:color w:val="000000" w:themeColor="text1"/>
          <w:lang w:eastAsia="es-ES_tradnl"/>
        </w:rPr>
        <w:t>Distribution of downloads increases when dissemination events are held in a county</w:t>
      </w:r>
    </w:p>
    <w:p w14:paraId="5788077C" w14:textId="77777777" w:rsidR="008366B9" w:rsidRDefault="008366B9" w:rsidP="008366B9">
      <w:pPr>
        <w:spacing w:line="276" w:lineRule="auto"/>
      </w:pPr>
      <w:r w:rsidRPr="00D64593">
        <w:t>Total downloads in counties where events were held (</w:t>
      </w:r>
      <w:r w:rsidRPr="00D64593">
        <w:rPr>
          <w:i/>
        </w:rPr>
        <w:t xml:space="preserve">Mdn </w:t>
      </w:r>
      <w:r w:rsidRPr="00D64593">
        <w:t>= 49.00) were significantly higher than in counties where no events were held (</w:t>
      </w:r>
      <w:r w:rsidRPr="00D64593">
        <w:rPr>
          <w:i/>
        </w:rPr>
        <w:t xml:space="preserve">Mdn </w:t>
      </w:r>
      <w:r w:rsidRPr="00D64593">
        <w:t xml:space="preserve">= 27.00), </w:t>
      </w:r>
      <w:r w:rsidRPr="00D64593">
        <w:rPr>
          <w:i/>
        </w:rPr>
        <w:t xml:space="preserve">U </w:t>
      </w:r>
      <w:r w:rsidRPr="00D64593">
        <w:t xml:space="preserve">= 403.00, </w:t>
      </w:r>
      <w:r w:rsidRPr="00D64593">
        <w:rPr>
          <w:i/>
        </w:rPr>
        <w:t xml:space="preserve">z </w:t>
      </w:r>
      <w:r w:rsidRPr="00D64593">
        <w:t xml:space="preserve">= 2.48, </w:t>
      </w:r>
      <w:r w:rsidRPr="00D64593">
        <w:rPr>
          <w:i/>
        </w:rPr>
        <w:t>p</w:t>
      </w:r>
      <w:r w:rsidRPr="00D64593">
        <w:t xml:space="preserve">= .013, </w:t>
      </w:r>
      <w:r w:rsidRPr="00D64593">
        <w:rPr>
          <w:i/>
        </w:rPr>
        <w:t>r</w:t>
      </w:r>
      <w:r w:rsidRPr="00D64593">
        <w:t xml:space="preserve"> = .36. </w:t>
      </w:r>
      <w:r>
        <w:t xml:space="preserve">This demonstrates that dissemination events positively influence downloads of the TAPS pyramid, resulting in higher downloads in the counties where they were held. </w:t>
      </w:r>
    </w:p>
    <w:p w14:paraId="6EF8F4C7" w14:textId="77777777" w:rsidR="008366B9" w:rsidRDefault="008366B9" w:rsidP="008366B9">
      <w:pPr>
        <w:rPr>
          <w:b/>
        </w:rPr>
      </w:pPr>
    </w:p>
    <w:p w14:paraId="1893FD56" w14:textId="2DA00552" w:rsidR="008366B9" w:rsidRPr="001D4A1D" w:rsidRDefault="008366B9" w:rsidP="008366B9">
      <w:pPr>
        <w:rPr>
          <w:i/>
          <w:color w:val="000000" w:themeColor="text1"/>
        </w:rPr>
      </w:pPr>
      <w:r w:rsidRPr="001D4A1D">
        <w:rPr>
          <w:i/>
          <w:color w:val="000000" w:themeColor="text1"/>
        </w:rPr>
        <w:t xml:space="preserve">Hypothesis 2: </w:t>
      </w:r>
      <w:r w:rsidRPr="001D4A1D">
        <w:rPr>
          <w:i/>
          <w:color w:val="000000" w:themeColor="text1"/>
          <w:lang w:eastAsia="es-ES_tradnl"/>
        </w:rPr>
        <w:t>Distribution of downloads is positively affected by the frequency of dissemination events held in a county</w:t>
      </w:r>
    </w:p>
    <w:p w14:paraId="006A8531" w14:textId="474000B3" w:rsidR="008366B9" w:rsidRPr="001D4A1D" w:rsidRDefault="008366B9" w:rsidP="008366B9">
      <w:pPr>
        <w:spacing w:line="276" w:lineRule="auto"/>
        <w:rPr>
          <w:color w:val="000000" w:themeColor="text1"/>
        </w:rPr>
      </w:pPr>
      <w:r w:rsidRPr="001D4A1D">
        <w:rPr>
          <w:color w:val="000000" w:themeColor="text1"/>
        </w:rPr>
        <w:t xml:space="preserve">In counties where dissemination events were held, a significant positive relationship was found between the frequency of dissemination events, and the total number of downloads made </w:t>
      </w:r>
      <w:r w:rsidRPr="001D4A1D">
        <w:rPr>
          <w:i/>
          <w:color w:val="000000" w:themeColor="text1"/>
        </w:rPr>
        <w:t>H</w:t>
      </w:r>
      <w:r w:rsidRPr="001D4A1D">
        <w:rPr>
          <w:color w:val="000000" w:themeColor="text1"/>
        </w:rPr>
        <w:t xml:space="preserve">(2) = 9.26, </w:t>
      </w:r>
      <w:r w:rsidRPr="001D4A1D">
        <w:rPr>
          <w:i/>
          <w:color w:val="000000" w:themeColor="text1"/>
        </w:rPr>
        <w:t>p</w:t>
      </w:r>
      <w:r w:rsidRPr="001D4A1D">
        <w:rPr>
          <w:color w:val="000000" w:themeColor="text1"/>
        </w:rPr>
        <w:t xml:space="preserve"> = .010. Pairwise comparison with adjusted p-values showed there were no significant differences between event frequencies of 1-2 events and 3-4 events (</w:t>
      </w:r>
      <w:r w:rsidRPr="001D4A1D">
        <w:rPr>
          <w:i/>
          <w:color w:val="000000" w:themeColor="text1"/>
        </w:rPr>
        <w:t>p</w:t>
      </w:r>
      <w:r w:rsidRPr="001D4A1D">
        <w:rPr>
          <w:color w:val="000000" w:themeColor="text1"/>
        </w:rPr>
        <w:t xml:space="preserve">=.24). </w:t>
      </w:r>
      <w:r w:rsidR="005A5EEC" w:rsidRPr="001D4A1D">
        <w:rPr>
          <w:color w:val="000000" w:themeColor="text1"/>
        </w:rPr>
        <w:t xml:space="preserve">This indicates that the significant differences are found between holding no events and some events, or no events and many events. </w:t>
      </w:r>
    </w:p>
    <w:p w14:paraId="49935011" w14:textId="77777777" w:rsidR="008366B9" w:rsidRPr="001D4A1D" w:rsidRDefault="008366B9" w:rsidP="008366B9">
      <w:pPr>
        <w:rPr>
          <w:b/>
          <w:color w:val="000000" w:themeColor="text1"/>
        </w:rPr>
      </w:pPr>
    </w:p>
    <w:p w14:paraId="11845E14" w14:textId="5FD355E6" w:rsidR="008366B9" w:rsidRPr="001D4A1D" w:rsidRDefault="008366B9" w:rsidP="008366B9">
      <w:pPr>
        <w:rPr>
          <w:i/>
          <w:color w:val="000000" w:themeColor="text1"/>
        </w:rPr>
      </w:pPr>
      <w:r w:rsidRPr="001D4A1D">
        <w:rPr>
          <w:i/>
          <w:color w:val="000000" w:themeColor="text1"/>
        </w:rPr>
        <w:t xml:space="preserve">Hypothesis 3: </w:t>
      </w:r>
      <w:r w:rsidRPr="001D4A1D">
        <w:rPr>
          <w:i/>
          <w:color w:val="000000" w:themeColor="text1"/>
          <w:lang w:eastAsia="es-ES_tradnl"/>
        </w:rPr>
        <w:t>Distribution of downloads is different across small-medium sized and large events</w:t>
      </w:r>
    </w:p>
    <w:p w14:paraId="1E19DE5D" w14:textId="77777777" w:rsidR="008366B9" w:rsidRPr="00D64593" w:rsidRDefault="008366B9" w:rsidP="008366B9">
      <w:pPr>
        <w:spacing w:line="276" w:lineRule="auto"/>
      </w:pPr>
      <w:r w:rsidRPr="00D64593">
        <w:t>There was no significant difference in total downloads between counties where only small to medium sized events were held (</w:t>
      </w:r>
      <w:r w:rsidRPr="00D64593">
        <w:rPr>
          <w:i/>
        </w:rPr>
        <w:t>Mdn</w:t>
      </w:r>
      <w:r w:rsidRPr="00D64593">
        <w:t xml:space="preserve"> = 41.00), compared to counties where large events were also held (</w:t>
      </w:r>
      <w:r w:rsidRPr="00D64593">
        <w:rPr>
          <w:i/>
        </w:rPr>
        <w:t>Mdn</w:t>
      </w:r>
      <w:r w:rsidRPr="00D64593">
        <w:t xml:space="preserve"> = 96.00), </w:t>
      </w:r>
      <w:r w:rsidRPr="00D64593">
        <w:rPr>
          <w:i/>
        </w:rPr>
        <w:t>U</w:t>
      </w:r>
      <w:r w:rsidRPr="00D64593">
        <w:t xml:space="preserve"> = 59.5,</w:t>
      </w:r>
      <w:r w:rsidRPr="00D64593">
        <w:rPr>
          <w:i/>
        </w:rPr>
        <w:t xml:space="preserve"> z</w:t>
      </w:r>
      <w:r w:rsidRPr="00D64593">
        <w:t xml:space="preserve"> = 1.61, </w:t>
      </w:r>
      <w:r w:rsidRPr="00D64593">
        <w:rPr>
          <w:i/>
        </w:rPr>
        <w:t xml:space="preserve">p </w:t>
      </w:r>
      <w:r w:rsidRPr="00D64593">
        <w:t xml:space="preserve">=.10, </w:t>
      </w:r>
      <w:r w:rsidRPr="00D64593">
        <w:rPr>
          <w:i/>
        </w:rPr>
        <w:t xml:space="preserve">r </w:t>
      </w:r>
      <w:r w:rsidRPr="00D64593">
        <w:t xml:space="preserve">= .35. </w:t>
      </w:r>
    </w:p>
    <w:p w14:paraId="6174647F" w14:textId="77777777" w:rsidR="008366B9" w:rsidRDefault="008366B9" w:rsidP="008366B9">
      <w:pPr>
        <w:rPr>
          <w:lang w:eastAsia="es-ES_tradnl"/>
        </w:rPr>
      </w:pPr>
      <w:r>
        <w:rPr>
          <w:lang w:eastAsia="es-ES_tradnl"/>
        </w:rPr>
        <w:t>This finding indicates that larger events are not more effective in stimulating download activity.</w:t>
      </w:r>
    </w:p>
    <w:p w14:paraId="55F605C2" w14:textId="59BDB45E" w:rsidR="008366B9" w:rsidRDefault="008366B9" w:rsidP="008366B9">
      <w:pPr>
        <w:rPr>
          <w:lang w:eastAsia="es-ES_tradnl"/>
        </w:rPr>
      </w:pPr>
      <w:r>
        <w:rPr>
          <w:lang w:eastAsia="es-ES_tradnl"/>
        </w:rPr>
        <w:t>The results are also summarised in Table 4</w:t>
      </w:r>
      <w:r w:rsidR="00FB1433">
        <w:rPr>
          <w:lang w:eastAsia="es-ES_tradnl"/>
        </w:rPr>
        <w:t>.</w:t>
      </w:r>
    </w:p>
    <w:tbl>
      <w:tblPr>
        <w:tblW w:w="9498" w:type="dxa"/>
        <w:tblCellMar>
          <w:left w:w="70" w:type="dxa"/>
          <w:right w:w="70" w:type="dxa"/>
        </w:tblCellMar>
        <w:tblLook w:val="04A0" w:firstRow="1" w:lastRow="0" w:firstColumn="1" w:lastColumn="0" w:noHBand="0" w:noVBand="1"/>
      </w:tblPr>
      <w:tblGrid>
        <w:gridCol w:w="4536"/>
        <w:gridCol w:w="1134"/>
        <w:gridCol w:w="1276"/>
        <w:gridCol w:w="1418"/>
        <w:gridCol w:w="1134"/>
      </w:tblGrid>
      <w:tr w:rsidR="008366B9" w:rsidRPr="00C47AB3" w14:paraId="45A64AFF" w14:textId="77777777" w:rsidTr="003E1EC2">
        <w:trPr>
          <w:trHeight w:val="315"/>
        </w:trPr>
        <w:tc>
          <w:tcPr>
            <w:tcW w:w="4536" w:type="dxa"/>
            <w:tcBorders>
              <w:top w:val="single" w:sz="4" w:space="0" w:color="auto"/>
              <w:left w:val="nil"/>
              <w:bottom w:val="single" w:sz="4" w:space="0" w:color="auto"/>
              <w:right w:val="nil"/>
            </w:tcBorders>
            <w:shd w:val="clear" w:color="auto" w:fill="auto"/>
            <w:noWrap/>
            <w:hideMark/>
          </w:tcPr>
          <w:p w14:paraId="0BC273AF" w14:textId="77777777" w:rsidR="008366B9" w:rsidRPr="00C47AB3" w:rsidRDefault="008366B9" w:rsidP="003E1EC2">
            <w:pPr>
              <w:spacing w:line="240" w:lineRule="auto"/>
              <w:rPr>
                <w:rFonts w:ascii="Calibri" w:hAnsi="Calibri" w:cs="Calibri"/>
                <w:b/>
                <w:bCs/>
                <w:color w:val="000000"/>
                <w:sz w:val="20"/>
                <w:szCs w:val="20"/>
                <w:lang w:eastAsia="es-ES_tradnl"/>
              </w:rPr>
            </w:pPr>
            <w:r>
              <w:rPr>
                <w:rFonts w:ascii="Calibri" w:hAnsi="Calibri" w:cs="Calibri"/>
                <w:b/>
                <w:bCs/>
                <w:color w:val="000000"/>
                <w:sz w:val="20"/>
                <w:szCs w:val="20"/>
                <w:lang w:eastAsia="es-ES_tradnl"/>
              </w:rPr>
              <w:t xml:space="preserve">Hypotheses </w:t>
            </w:r>
          </w:p>
        </w:tc>
        <w:tc>
          <w:tcPr>
            <w:tcW w:w="1134" w:type="dxa"/>
            <w:tcBorders>
              <w:top w:val="single" w:sz="4" w:space="0" w:color="auto"/>
              <w:left w:val="nil"/>
              <w:bottom w:val="single" w:sz="4" w:space="0" w:color="auto"/>
              <w:right w:val="nil"/>
            </w:tcBorders>
            <w:shd w:val="clear" w:color="auto" w:fill="auto"/>
            <w:noWrap/>
            <w:hideMark/>
          </w:tcPr>
          <w:p w14:paraId="3DDCAD15" w14:textId="77777777" w:rsidR="008366B9" w:rsidRPr="00C47AB3" w:rsidRDefault="008366B9" w:rsidP="003E1EC2">
            <w:pPr>
              <w:spacing w:line="240" w:lineRule="auto"/>
              <w:jc w:val="center"/>
              <w:rPr>
                <w:rFonts w:ascii="Calibri" w:hAnsi="Calibri" w:cs="Calibri"/>
                <w:b/>
                <w:bCs/>
                <w:color w:val="000000"/>
                <w:sz w:val="20"/>
                <w:szCs w:val="20"/>
                <w:lang w:eastAsia="es-ES_tradnl"/>
              </w:rPr>
            </w:pPr>
            <w:r w:rsidRPr="00C47AB3">
              <w:rPr>
                <w:rFonts w:ascii="Calibri" w:hAnsi="Calibri" w:cs="Calibri"/>
                <w:b/>
                <w:bCs/>
                <w:color w:val="000000"/>
                <w:sz w:val="20"/>
                <w:szCs w:val="20"/>
                <w:lang w:eastAsia="es-ES_tradnl"/>
              </w:rPr>
              <w:t>Test statistic</w:t>
            </w:r>
          </w:p>
        </w:tc>
        <w:tc>
          <w:tcPr>
            <w:tcW w:w="1276" w:type="dxa"/>
            <w:tcBorders>
              <w:top w:val="single" w:sz="4" w:space="0" w:color="auto"/>
              <w:left w:val="nil"/>
              <w:bottom w:val="single" w:sz="4" w:space="0" w:color="auto"/>
              <w:right w:val="nil"/>
            </w:tcBorders>
            <w:shd w:val="clear" w:color="auto" w:fill="auto"/>
            <w:noWrap/>
            <w:hideMark/>
          </w:tcPr>
          <w:p w14:paraId="55E8D46C" w14:textId="77777777" w:rsidR="008366B9" w:rsidRPr="00C47AB3" w:rsidRDefault="008366B9" w:rsidP="003E1EC2">
            <w:pPr>
              <w:spacing w:line="240" w:lineRule="auto"/>
              <w:jc w:val="center"/>
              <w:rPr>
                <w:rFonts w:ascii="Calibri" w:hAnsi="Calibri" w:cs="Calibri"/>
                <w:b/>
                <w:bCs/>
                <w:i/>
                <w:iCs/>
                <w:color w:val="000000"/>
                <w:sz w:val="20"/>
                <w:szCs w:val="20"/>
                <w:lang w:eastAsia="es-ES_tradnl"/>
              </w:rPr>
            </w:pPr>
            <w:r w:rsidRPr="00C47AB3">
              <w:rPr>
                <w:rFonts w:ascii="Calibri" w:hAnsi="Calibri" w:cs="Calibri"/>
                <w:b/>
                <w:bCs/>
                <w:i/>
                <w:iCs/>
                <w:color w:val="000000"/>
                <w:sz w:val="20"/>
                <w:szCs w:val="20"/>
                <w:lang w:eastAsia="es-ES_tradnl"/>
              </w:rPr>
              <w:t>p</w:t>
            </w:r>
          </w:p>
        </w:tc>
        <w:tc>
          <w:tcPr>
            <w:tcW w:w="1418" w:type="dxa"/>
            <w:tcBorders>
              <w:top w:val="single" w:sz="4" w:space="0" w:color="auto"/>
              <w:left w:val="nil"/>
              <w:bottom w:val="single" w:sz="4" w:space="0" w:color="auto"/>
              <w:right w:val="nil"/>
            </w:tcBorders>
            <w:shd w:val="clear" w:color="auto" w:fill="auto"/>
            <w:noWrap/>
            <w:hideMark/>
          </w:tcPr>
          <w:p w14:paraId="602A0C3F" w14:textId="77777777" w:rsidR="008366B9" w:rsidRPr="00C47AB3" w:rsidRDefault="008366B9" w:rsidP="003E1EC2">
            <w:pPr>
              <w:spacing w:line="240" w:lineRule="auto"/>
              <w:jc w:val="center"/>
              <w:rPr>
                <w:rFonts w:ascii="Calibri" w:hAnsi="Calibri" w:cs="Calibri"/>
                <w:b/>
                <w:bCs/>
                <w:color w:val="000000"/>
                <w:sz w:val="20"/>
                <w:szCs w:val="20"/>
                <w:lang w:eastAsia="es-ES_tradnl"/>
              </w:rPr>
            </w:pPr>
            <w:r w:rsidRPr="00C47AB3">
              <w:rPr>
                <w:rFonts w:ascii="Calibri" w:hAnsi="Calibri" w:cs="Calibri"/>
                <w:b/>
                <w:bCs/>
                <w:color w:val="000000"/>
                <w:sz w:val="20"/>
                <w:szCs w:val="20"/>
                <w:lang w:eastAsia="es-ES_tradnl"/>
              </w:rPr>
              <w:t>ES</w:t>
            </w:r>
          </w:p>
        </w:tc>
        <w:tc>
          <w:tcPr>
            <w:tcW w:w="1134" w:type="dxa"/>
            <w:tcBorders>
              <w:top w:val="single" w:sz="4" w:space="0" w:color="auto"/>
              <w:left w:val="nil"/>
              <w:bottom w:val="single" w:sz="4" w:space="0" w:color="auto"/>
              <w:right w:val="nil"/>
            </w:tcBorders>
            <w:shd w:val="clear" w:color="auto" w:fill="auto"/>
            <w:noWrap/>
            <w:hideMark/>
          </w:tcPr>
          <w:p w14:paraId="4824C4FF" w14:textId="77777777" w:rsidR="008366B9" w:rsidRPr="00C47AB3" w:rsidRDefault="008366B9" w:rsidP="003E1EC2">
            <w:pPr>
              <w:spacing w:line="240" w:lineRule="auto"/>
              <w:jc w:val="center"/>
              <w:rPr>
                <w:rFonts w:ascii="Calibri" w:hAnsi="Calibri" w:cs="Calibri"/>
                <w:b/>
                <w:bCs/>
                <w:color w:val="000000"/>
                <w:sz w:val="20"/>
                <w:szCs w:val="20"/>
                <w:lang w:eastAsia="es-ES_tradnl"/>
              </w:rPr>
            </w:pPr>
            <w:r>
              <w:rPr>
                <w:rFonts w:ascii="Calibri" w:hAnsi="Calibri" w:cs="Calibri"/>
                <w:b/>
                <w:bCs/>
                <w:color w:val="000000"/>
                <w:sz w:val="20"/>
                <w:szCs w:val="20"/>
                <w:lang w:eastAsia="es-ES_tradnl"/>
              </w:rPr>
              <w:t>Notes</w:t>
            </w:r>
          </w:p>
        </w:tc>
      </w:tr>
      <w:tr w:rsidR="008366B9" w:rsidRPr="00C47AB3" w14:paraId="30222599" w14:textId="77777777" w:rsidTr="003E1EC2">
        <w:trPr>
          <w:trHeight w:val="300"/>
        </w:trPr>
        <w:tc>
          <w:tcPr>
            <w:tcW w:w="4536" w:type="dxa"/>
            <w:tcBorders>
              <w:top w:val="nil"/>
              <w:left w:val="nil"/>
              <w:bottom w:val="nil"/>
              <w:right w:val="nil"/>
            </w:tcBorders>
            <w:shd w:val="clear" w:color="auto" w:fill="auto"/>
            <w:hideMark/>
          </w:tcPr>
          <w:p w14:paraId="1797E2BE" w14:textId="77777777" w:rsidR="008366B9" w:rsidRPr="00D64593" w:rsidRDefault="008366B9" w:rsidP="003E1EC2">
            <w:pPr>
              <w:spacing w:line="240" w:lineRule="auto"/>
              <w:rPr>
                <w:rFonts w:ascii="Calibri" w:hAnsi="Calibri" w:cs="Calibri"/>
                <w:color w:val="000000"/>
                <w:sz w:val="18"/>
                <w:szCs w:val="18"/>
                <w:lang w:eastAsia="es-ES_tradnl"/>
              </w:rPr>
            </w:pPr>
            <w:r w:rsidRPr="00D64593">
              <w:rPr>
                <w:rFonts w:ascii="Calibri" w:hAnsi="Calibri" w:cs="Calibri"/>
                <w:color w:val="000000"/>
                <w:sz w:val="18"/>
                <w:szCs w:val="18"/>
                <w:lang w:eastAsia="es-ES_tradnl"/>
              </w:rPr>
              <w:t>Distribution of downloads i</w:t>
            </w:r>
            <w:r>
              <w:rPr>
                <w:rFonts w:ascii="Calibri" w:hAnsi="Calibri" w:cs="Calibri"/>
                <w:color w:val="000000"/>
                <w:sz w:val="18"/>
                <w:szCs w:val="18"/>
                <w:lang w:eastAsia="es-ES_tradnl"/>
              </w:rPr>
              <w:t>ncreases when dissemination events are held in a county</w:t>
            </w:r>
          </w:p>
        </w:tc>
        <w:tc>
          <w:tcPr>
            <w:tcW w:w="1134" w:type="dxa"/>
            <w:tcBorders>
              <w:top w:val="nil"/>
              <w:left w:val="nil"/>
              <w:bottom w:val="nil"/>
              <w:right w:val="nil"/>
            </w:tcBorders>
            <w:shd w:val="clear" w:color="auto" w:fill="auto"/>
            <w:noWrap/>
            <w:hideMark/>
          </w:tcPr>
          <w:p w14:paraId="38E25F27"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403.000</w:t>
            </w:r>
          </w:p>
        </w:tc>
        <w:tc>
          <w:tcPr>
            <w:tcW w:w="1276" w:type="dxa"/>
            <w:tcBorders>
              <w:top w:val="nil"/>
              <w:left w:val="nil"/>
              <w:bottom w:val="nil"/>
              <w:right w:val="nil"/>
            </w:tcBorders>
            <w:shd w:val="clear" w:color="auto" w:fill="auto"/>
            <w:noWrap/>
            <w:hideMark/>
          </w:tcPr>
          <w:p w14:paraId="5F69239F"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.013*</w:t>
            </w:r>
          </w:p>
        </w:tc>
        <w:tc>
          <w:tcPr>
            <w:tcW w:w="1418" w:type="dxa"/>
            <w:tcBorders>
              <w:top w:val="nil"/>
              <w:left w:val="nil"/>
              <w:bottom w:val="nil"/>
              <w:right w:val="nil"/>
            </w:tcBorders>
            <w:shd w:val="clear" w:color="auto" w:fill="auto"/>
            <w:noWrap/>
            <w:hideMark/>
          </w:tcPr>
          <w:p w14:paraId="5F887D67"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.36</w:t>
            </w:r>
          </w:p>
        </w:tc>
        <w:tc>
          <w:tcPr>
            <w:tcW w:w="1134" w:type="dxa"/>
            <w:tcBorders>
              <w:top w:val="nil"/>
              <w:left w:val="nil"/>
              <w:bottom w:val="nil"/>
              <w:right w:val="nil"/>
            </w:tcBorders>
            <w:shd w:val="clear" w:color="auto" w:fill="auto"/>
            <w:noWrap/>
            <w:hideMark/>
          </w:tcPr>
          <w:p w14:paraId="123FAED0" w14:textId="77777777" w:rsidR="008366B9" w:rsidRPr="00C47AB3" w:rsidRDefault="008366B9" w:rsidP="003E1EC2">
            <w:pPr>
              <w:spacing w:line="240" w:lineRule="auto"/>
              <w:jc w:val="center"/>
              <w:rPr>
                <w:rFonts w:ascii="Calibri" w:hAnsi="Calibri" w:cs="Calibri"/>
                <w:color w:val="000000"/>
                <w:lang w:eastAsia="es-ES_tradnl"/>
              </w:rPr>
            </w:pPr>
          </w:p>
        </w:tc>
      </w:tr>
      <w:tr w:rsidR="008366B9" w:rsidRPr="00063C67" w14:paraId="375B186F" w14:textId="77777777" w:rsidTr="003E1EC2">
        <w:trPr>
          <w:trHeight w:val="300"/>
        </w:trPr>
        <w:tc>
          <w:tcPr>
            <w:tcW w:w="4536" w:type="dxa"/>
            <w:tcBorders>
              <w:top w:val="nil"/>
              <w:left w:val="nil"/>
              <w:bottom w:val="nil"/>
              <w:right w:val="nil"/>
            </w:tcBorders>
            <w:shd w:val="clear" w:color="auto" w:fill="auto"/>
            <w:hideMark/>
          </w:tcPr>
          <w:p w14:paraId="290935BA" w14:textId="77777777" w:rsidR="008366B9" w:rsidRPr="00D64593" w:rsidRDefault="008366B9" w:rsidP="003E1EC2">
            <w:pPr>
              <w:spacing w:line="240" w:lineRule="auto"/>
              <w:rPr>
                <w:rFonts w:ascii="Calibri" w:hAnsi="Calibri" w:cs="Calibri"/>
                <w:color w:val="000000"/>
                <w:sz w:val="18"/>
                <w:szCs w:val="18"/>
                <w:lang w:eastAsia="es-ES_tradnl"/>
              </w:rPr>
            </w:pPr>
            <w:r w:rsidRPr="00D64593">
              <w:rPr>
                <w:rFonts w:ascii="Calibri" w:hAnsi="Calibri" w:cs="Calibri"/>
                <w:color w:val="000000"/>
                <w:sz w:val="18"/>
                <w:szCs w:val="18"/>
                <w:lang w:eastAsia="es-ES_tradnl"/>
              </w:rPr>
              <w:t xml:space="preserve">Distribution of downloads is </w:t>
            </w:r>
            <w:r>
              <w:rPr>
                <w:rFonts w:ascii="Calibri" w:hAnsi="Calibri" w:cs="Calibri"/>
                <w:color w:val="000000"/>
                <w:sz w:val="18"/>
                <w:szCs w:val="18"/>
                <w:lang w:eastAsia="es-ES_tradnl"/>
              </w:rPr>
              <w:t>positively affected the frequency of events in a county</w:t>
            </w:r>
          </w:p>
        </w:tc>
        <w:tc>
          <w:tcPr>
            <w:tcW w:w="1134" w:type="dxa"/>
            <w:tcBorders>
              <w:top w:val="nil"/>
              <w:left w:val="nil"/>
              <w:bottom w:val="nil"/>
              <w:right w:val="nil"/>
            </w:tcBorders>
            <w:shd w:val="clear" w:color="auto" w:fill="auto"/>
            <w:noWrap/>
            <w:hideMark/>
          </w:tcPr>
          <w:p w14:paraId="615EDD8F"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9.266</w:t>
            </w:r>
          </w:p>
        </w:tc>
        <w:tc>
          <w:tcPr>
            <w:tcW w:w="1276" w:type="dxa"/>
            <w:tcBorders>
              <w:top w:val="nil"/>
              <w:left w:val="nil"/>
              <w:bottom w:val="nil"/>
              <w:right w:val="nil"/>
            </w:tcBorders>
            <w:shd w:val="clear" w:color="auto" w:fill="auto"/>
            <w:noWrap/>
            <w:hideMark/>
          </w:tcPr>
          <w:p w14:paraId="0F66B19C"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.010*</w:t>
            </w:r>
          </w:p>
        </w:tc>
        <w:tc>
          <w:tcPr>
            <w:tcW w:w="1418" w:type="dxa"/>
            <w:tcBorders>
              <w:top w:val="nil"/>
              <w:left w:val="nil"/>
              <w:bottom w:val="nil"/>
              <w:right w:val="nil"/>
            </w:tcBorders>
            <w:shd w:val="clear" w:color="auto" w:fill="auto"/>
            <w:noWrap/>
            <w:hideMark/>
          </w:tcPr>
          <w:p w14:paraId="71B86E68"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.21, .51, .38</w:t>
            </w:r>
          </w:p>
        </w:tc>
        <w:tc>
          <w:tcPr>
            <w:tcW w:w="1134" w:type="dxa"/>
            <w:tcBorders>
              <w:top w:val="nil"/>
              <w:left w:val="nil"/>
              <w:bottom w:val="nil"/>
              <w:right w:val="nil"/>
            </w:tcBorders>
            <w:shd w:val="clear" w:color="auto" w:fill="auto"/>
            <w:noWrap/>
            <w:hideMark/>
          </w:tcPr>
          <w:p w14:paraId="4B708996" w14:textId="77777777" w:rsidR="008366B9" w:rsidRPr="00363FF2" w:rsidRDefault="008366B9" w:rsidP="003E1EC2">
            <w:pPr>
              <w:spacing w:line="240" w:lineRule="auto"/>
              <w:jc w:val="center"/>
              <w:rPr>
                <w:rFonts w:ascii="Calibri" w:hAnsi="Calibri" w:cs="Calibri"/>
                <w:color w:val="000000"/>
                <w:lang w:eastAsia="es-ES_tradnl"/>
              </w:rPr>
            </w:pPr>
            <w:r w:rsidRPr="00864E6A">
              <w:rPr>
                <w:rFonts w:ascii="Calibri" w:hAnsi="Calibri" w:cs="Calibri"/>
                <w:color w:val="000000"/>
                <w:sz w:val="16"/>
                <w:szCs w:val="16"/>
                <w:lang w:eastAsia="es-ES_tradnl"/>
              </w:rPr>
              <w:t>0 events and 1-2 events; 0 and 3or more events; 1-2 events and 3-4</w:t>
            </w:r>
          </w:p>
        </w:tc>
      </w:tr>
      <w:tr w:rsidR="008366B9" w:rsidRPr="00C47AB3" w14:paraId="387D8FD8" w14:textId="77777777" w:rsidTr="003E1EC2">
        <w:trPr>
          <w:trHeight w:val="480"/>
        </w:trPr>
        <w:tc>
          <w:tcPr>
            <w:tcW w:w="4536" w:type="dxa"/>
            <w:tcBorders>
              <w:top w:val="nil"/>
              <w:left w:val="nil"/>
              <w:bottom w:val="nil"/>
              <w:right w:val="nil"/>
            </w:tcBorders>
            <w:shd w:val="clear" w:color="auto" w:fill="auto"/>
            <w:hideMark/>
          </w:tcPr>
          <w:p w14:paraId="3CC5251A" w14:textId="77777777" w:rsidR="008366B9" w:rsidRPr="00D64593" w:rsidRDefault="008366B9" w:rsidP="003E1EC2">
            <w:pPr>
              <w:spacing w:line="240" w:lineRule="auto"/>
              <w:rPr>
                <w:rFonts w:ascii="Calibri" w:hAnsi="Calibri" w:cs="Calibri"/>
                <w:color w:val="000000"/>
                <w:sz w:val="18"/>
                <w:szCs w:val="18"/>
                <w:lang w:eastAsia="es-ES_tradnl"/>
              </w:rPr>
            </w:pPr>
            <w:r w:rsidRPr="00D64593">
              <w:rPr>
                <w:rFonts w:ascii="Calibri" w:hAnsi="Calibri" w:cs="Calibri"/>
                <w:color w:val="000000"/>
                <w:sz w:val="18"/>
                <w:szCs w:val="18"/>
                <w:lang w:eastAsia="es-ES_tradnl"/>
              </w:rPr>
              <w:t xml:space="preserve">Distribution of downloads is </w:t>
            </w:r>
            <w:r>
              <w:rPr>
                <w:rFonts w:ascii="Calibri" w:hAnsi="Calibri" w:cs="Calibri"/>
                <w:color w:val="000000"/>
                <w:sz w:val="18"/>
                <w:szCs w:val="18"/>
                <w:lang w:eastAsia="es-ES_tradnl"/>
              </w:rPr>
              <w:t xml:space="preserve">different </w:t>
            </w:r>
            <w:r w:rsidRPr="00D64593">
              <w:rPr>
                <w:rFonts w:ascii="Calibri" w:hAnsi="Calibri" w:cs="Calibri"/>
                <w:color w:val="000000"/>
                <w:sz w:val="18"/>
                <w:szCs w:val="18"/>
                <w:lang w:eastAsia="es-ES_tradnl"/>
              </w:rPr>
              <w:t>across small-medium and large events</w:t>
            </w:r>
          </w:p>
        </w:tc>
        <w:tc>
          <w:tcPr>
            <w:tcW w:w="1134" w:type="dxa"/>
            <w:tcBorders>
              <w:top w:val="nil"/>
              <w:left w:val="nil"/>
              <w:bottom w:val="nil"/>
              <w:right w:val="nil"/>
            </w:tcBorders>
            <w:shd w:val="clear" w:color="auto" w:fill="auto"/>
            <w:noWrap/>
            <w:hideMark/>
          </w:tcPr>
          <w:p w14:paraId="722D3AEC"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59.500</w:t>
            </w:r>
          </w:p>
        </w:tc>
        <w:tc>
          <w:tcPr>
            <w:tcW w:w="1276" w:type="dxa"/>
            <w:tcBorders>
              <w:top w:val="nil"/>
              <w:left w:val="nil"/>
              <w:bottom w:val="nil"/>
              <w:right w:val="nil"/>
            </w:tcBorders>
            <w:shd w:val="clear" w:color="auto" w:fill="auto"/>
            <w:noWrap/>
            <w:hideMark/>
          </w:tcPr>
          <w:p w14:paraId="4C3A5FD4"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.10</w:t>
            </w:r>
          </w:p>
        </w:tc>
        <w:tc>
          <w:tcPr>
            <w:tcW w:w="1418" w:type="dxa"/>
            <w:tcBorders>
              <w:top w:val="nil"/>
              <w:left w:val="nil"/>
              <w:bottom w:val="nil"/>
              <w:right w:val="nil"/>
            </w:tcBorders>
            <w:shd w:val="clear" w:color="auto" w:fill="auto"/>
            <w:noWrap/>
            <w:hideMark/>
          </w:tcPr>
          <w:p w14:paraId="767B17A9" w14:textId="77777777" w:rsidR="008366B9" w:rsidRPr="00C47AB3" w:rsidRDefault="008366B9" w:rsidP="003E1EC2">
            <w:pPr>
              <w:spacing w:line="240" w:lineRule="auto"/>
              <w:jc w:val="center"/>
              <w:rPr>
                <w:rFonts w:ascii="Calibri" w:hAnsi="Calibri" w:cs="Calibri"/>
                <w:color w:val="000000"/>
                <w:lang w:eastAsia="es-ES_tradnl"/>
              </w:rPr>
            </w:pPr>
            <w:r w:rsidRPr="00C47AB3">
              <w:rPr>
                <w:rFonts w:ascii="Calibri" w:hAnsi="Calibri" w:cs="Calibri"/>
                <w:color w:val="000000"/>
                <w:lang w:eastAsia="es-ES_tradnl"/>
              </w:rPr>
              <w:t>.35</w:t>
            </w:r>
          </w:p>
        </w:tc>
        <w:tc>
          <w:tcPr>
            <w:tcW w:w="1134" w:type="dxa"/>
            <w:tcBorders>
              <w:top w:val="nil"/>
              <w:left w:val="nil"/>
              <w:bottom w:val="nil"/>
              <w:right w:val="nil"/>
            </w:tcBorders>
            <w:shd w:val="clear" w:color="auto" w:fill="auto"/>
            <w:noWrap/>
            <w:hideMark/>
          </w:tcPr>
          <w:p w14:paraId="6B47B1D1" w14:textId="77777777" w:rsidR="008366B9" w:rsidRPr="00C47AB3" w:rsidRDefault="008366B9" w:rsidP="003E1EC2">
            <w:pPr>
              <w:spacing w:line="240" w:lineRule="auto"/>
              <w:jc w:val="center"/>
              <w:rPr>
                <w:rFonts w:ascii="Calibri" w:hAnsi="Calibri" w:cs="Calibri"/>
                <w:color w:val="000000"/>
                <w:lang w:eastAsia="es-ES_tradnl"/>
              </w:rPr>
            </w:pPr>
          </w:p>
        </w:tc>
      </w:tr>
      <w:tr w:rsidR="008366B9" w:rsidRPr="00063C67" w14:paraId="11AA30A5" w14:textId="77777777" w:rsidTr="003E1EC2">
        <w:trPr>
          <w:trHeight w:val="1980"/>
        </w:trPr>
        <w:tc>
          <w:tcPr>
            <w:tcW w:w="9498" w:type="dxa"/>
            <w:gridSpan w:val="5"/>
            <w:tcBorders>
              <w:top w:val="single" w:sz="4" w:space="0" w:color="auto"/>
              <w:left w:val="nil"/>
              <w:bottom w:val="nil"/>
              <w:right w:val="nil"/>
            </w:tcBorders>
            <w:shd w:val="clear" w:color="auto" w:fill="auto"/>
            <w:hideMark/>
          </w:tcPr>
          <w:p w14:paraId="4404211E" w14:textId="77777777" w:rsidR="008366B9" w:rsidRPr="00363FF2" w:rsidRDefault="008366B9" w:rsidP="003E1EC2">
            <w:pPr>
              <w:spacing w:line="240" w:lineRule="auto"/>
              <w:rPr>
                <w:rFonts w:ascii="Calibri" w:hAnsi="Calibri" w:cs="Calibri"/>
                <w:color w:val="000000"/>
                <w:sz w:val="18"/>
                <w:szCs w:val="18"/>
                <w:lang w:eastAsia="es-ES_tradnl"/>
              </w:rPr>
            </w:pPr>
            <w:r w:rsidRPr="00363FF2">
              <w:rPr>
                <w:rFonts w:ascii="Calibri" w:hAnsi="Calibri" w:cs="Calibri"/>
                <w:color w:val="000000"/>
                <w:sz w:val="18"/>
                <w:szCs w:val="18"/>
                <w:lang w:eastAsia="es-ES_tradnl"/>
              </w:rPr>
              <w:t>Footnotes:</w:t>
            </w:r>
            <w:r w:rsidRPr="00363FF2">
              <w:rPr>
                <w:rFonts w:ascii="Calibri" w:hAnsi="Calibri" w:cs="Calibri"/>
                <w:color w:val="000000"/>
                <w:sz w:val="18"/>
                <w:szCs w:val="18"/>
                <w:lang w:eastAsia="es-ES_tradnl"/>
              </w:rPr>
              <w:br/>
              <w:t>N=2,764</w:t>
            </w:r>
            <w:r w:rsidRPr="00363FF2">
              <w:rPr>
                <w:rFonts w:ascii="Calibri" w:hAnsi="Calibri" w:cs="Calibri"/>
                <w:color w:val="000000"/>
                <w:sz w:val="18"/>
                <w:szCs w:val="18"/>
                <w:lang w:eastAsia="es-ES_tradnl"/>
              </w:rPr>
              <w:br/>
              <w:t>† N=51</w:t>
            </w:r>
            <w:r w:rsidRPr="00363FF2">
              <w:rPr>
                <w:rFonts w:ascii="Calibri" w:hAnsi="Calibri" w:cs="Calibri"/>
                <w:color w:val="000000"/>
                <w:sz w:val="18"/>
                <w:szCs w:val="18"/>
                <w:lang w:eastAsia="es-ES_tradnl"/>
              </w:rPr>
              <w:br/>
              <w:t xml:space="preserve">* </w:t>
            </w:r>
            <w:r w:rsidRPr="00363FF2">
              <w:rPr>
                <w:rFonts w:ascii="Calibri" w:hAnsi="Calibri" w:cs="Calibri"/>
                <w:i/>
                <w:iCs/>
                <w:color w:val="000000"/>
                <w:sz w:val="18"/>
                <w:szCs w:val="18"/>
                <w:lang w:eastAsia="es-ES_tradnl"/>
              </w:rPr>
              <w:t>p</w:t>
            </w:r>
            <w:r w:rsidRPr="00363FF2">
              <w:rPr>
                <w:rFonts w:ascii="Calibri" w:hAnsi="Calibri" w:cs="Calibri"/>
                <w:color w:val="000000"/>
                <w:sz w:val="18"/>
                <w:szCs w:val="18"/>
                <w:lang w:eastAsia="es-ES_tradnl"/>
              </w:rPr>
              <w:t>≤</w:t>
            </w:r>
            <w:r w:rsidRPr="00363FF2">
              <w:rPr>
                <w:rFonts w:ascii="Calibri" w:hAnsi="Calibri" w:cs="Calibri"/>
                <w:i/>
                <w:iCs/>
                <w:color w:val="000000"/>
                <w:sz w:val="18"/>
                <w:szCs w:val="18"/>
                <w:lang w:eastAsia="es-ES_tradnl"/>
              </w:rPr>
              <w:t xml:space="preserve"> .</w:t>
            </w:r>
            <w:r w:rsidRPr="00363FF2">
              <w:rPr>
                <w:rFonts w:ascii="Calibri" w:hAnsi="Calibri" w:cs="Calibri"/>
                <w:color w:val="000000"/>
                <w:sz w:val="18"/>
                <w:szCs w:val="18"/>
                <w:lang w:eastAsia="es-ES_tradnl"/>
              </w:rPr>
              <w:t>05(two-tailed)</w:t>
            </w:r>
            <w:r w:rsidRPr="00363FF2">
              <w:rPr>
                <w:rFonts w:ascii="Calibri" w:hAnsi="Calibri" w:cs="Calibri"/>
                <w:color w:val="000000"/>
                <w:sz w:val="18"/>
                <w:szCs w:val="18"/>
                <w:lang w:eastAsia="es-ES_tradnl"/>
              </w:rPr>
              <w:br/>
              <w:t xml:space="preserve">ES: effect size. Small ES .1 - .29, Medium ES .3 - .49, Large .5 and above. </w:t>
            </w:r>
          </w:p>
          <w:p w14:paraId="6D7758F5" w14:textId="77777777" w:rsidR="008366B9" w:rsidRPr="00D64593" w:rsidRDefault="008366B9" w:rsidP="003E1EC2">
            <w:pPr>
              <w:spacing w:line="240" w:lineRule="auto"/>
              <w:rPr>
                <w:rFonts w:ascii="Calibri" w:hAnsi="Calibri" w:cs="Calibri"/>
                <w:color w:val="000000"/>
                <w:sz w:val="20"/>
                <w:szCs w:val="20"/>
                <w:lang w:eastAsia="es-ES_tradnl"/>
              </w:rPr>
            </w:pPr>
          </w:p>
          <w:p w14:paraId="169C9FC6" w14:textId="4393BF59" w:rsidR="008366B9" w:rsidRPr="00363FF2" w:rsidRDefault="008366B9" w:rsidP="003E1EC2">
            <w:pPr>
              <w:spacing w:line="240" w:lineRule="auto"/>
              <w:rPr>
                <w:rFonts w:ascii="Calibri" w:hAnsi="Calibri" w:cs="Calibri"/>
                <w:color w:val="000000"/>
                <w:sz w:val="20"/>
                <w:szCs w:val="20"/>
                <w:lang w:eastAsia="es-ES_tradnl"/>
              </w:rPr>
            </w:pPr>
            <w:bookmarkStart w:id="3" w:name="_Hlk536382663"/>
            <w:r w:rsidRPr="003C1E96">
              <w:rPr>
                <w:rFonts w:ascii="Calibri" w:hAnsi="Calibri" w:cs="Calibri"/>
                <w:color w:val="000000"/>
                <w:sz w:val="20"/>
                <w:szCs w:val="20"/>
                <w:lang w:eastAsia="es-ES_tradnl"/>
              </w:rPr>
              <w:t xml:space="preserve">Table </w:t>
            </w:r>
            <w:r w:rsidR="00FB1433">
              <w:rPr>
                <w:rFonts w:ascii="Calibri" w:hAnsi="Calibri" w:cs="Calibri"/>
                <w:color w:val="000000"/>
                <w:sz w:val="20"/>
                <w:szCs w:val="20"/>
                <w:lang w:eastAsia="es-ES_tradnl"/>
              </w:rPr>
              <w:t>4</w:t>
            </w:r>
            <w:r w:rsidRPr="003C1E96">
              <w:rPr>
                <w:rFonts w:ascii="Calibri" w:hAnsi="Calibri" w:cs="Calibri"/>
                <w:color w:val="000000"/>
                <w:sz w:val="20"/>
                <w:szCs w:val="20"/>
                <w:lang w:eastAsia="es-ES_tradnl"/>
              </w:rPr>
              <w:t>:</w:t>
            </w:r>
            <w:r w:rsidRPr="00363FF2">
              <w:rPr>
                <w:rFonts w:ascii="Calibri" w:hAnsi="Calibri" w:cs="Calibri"/>
                <w:color w:val="000000"/>
                <w:sz w:val="20"/>
                <w:szCs w:val="20"/>
                <w:lang w:eastAsia="es-ES_tradnl"/>
              </w:rPr>
              <w:t xml:space="preserve"> </w:t>
            </w:r>
            <w:r>
              <w:rPr>
                <w:rFonts w:ascii="Calibri" w:hAnsi="Calibri" w:cs="Calibri"/>
                <w:color w:val="000000"/>
                <w:sz w:val="20"/>
                <w:szCs w:val="20"/>
                <w:lang w:eastAsia="es-ES_tradnl"/>
              </w:rPr>
              <w:t xml:space="preserve">summary of test results for </w:t>
            </w:r>
            <w:r w:rsidRPr="00363FF2">
              <w:rPr>
                <w:rFonts w:ascii="Calibri" w:hAnsi="Calibri" w:cs="Calibri"/>
                <w:color w:val="000000"/>
                <w:sz w:val="20"/>
                <w:szCs w:val="20"/>
                <w:lang w:eastAsia="es-ES_tradnl"/>
              </w:rPr>
              <w:t xml:space="preserve">statistical </w:t>
            </w:r>
            <w:r>
              <w:rPr>
                <w:rFonts w:ascii="Calibri" w:hAnsi="Calibri" w:cs="Calibri"/>
                <w:color w:val="000000"/>
                <w:sz w:val="20"/>
                <w:szCs w:val="20"/>
                <w:lang w:eastAsia="es-ES_tradnl"/>
              </w:rPr>
              <w:t>significance of Stage 1 download and dissemination event data</w:t>
            </w:r>
            <w:bookmarkEnd w:id="3"/>
          </w:p>
        </w:tc>
      </w:tr>
    </w:tbl>
    <w:p w14:paraId="758F928A" w14:textId="77777777" w:rsidR="00D91530" w:rsidRPr="00D91530" w:rsidRDefault="00D91530" w:rsidP="00D91530">
      <w:pPr>
        <w:rPr>
          <w:lang w:eastAsia="es-ES_tradnl"/>
        </w:rPr>
      </w:pPr>
    </w:p>
    <w:p w14:paraId="00802D0B" w14:textId="3B024FD9" w:rsidR="00AB68FD" w:rsidRDefault="00AB68FD" w:rsidP="00F12982"/>
    <w:p w14:paraId="329C6988" w14:textId="77777777" w:rsidR="00561D39" w:rsidRDefault="00561D39" w:rsidP="00561D39"/>
    <w:p w14:paraId="2B7D2913" w14:textId="2AB908B4" w:rsidR="00561D39" w:rsidRPr="00937DB0" w:rsidRDefault="00561D39" w:rsidP="009321B2">
      <w:pPr>
        <w:pStyle w:val="Heading1"/>
      </w:pPr>
      <w:r w:rsidRPr="008F0ADA">
        <w:lastRenderedPageBreak/>
        <w:t>D</w:t>
      </w:r>
      <w:r w:rsidR="009321B2">
        <w:t>iscussion</w:t>
      </w:r>
    </w:p>
    <w:p w14:paraId="2A2AC3C5" w14:textId="1E8257BF" w:rsidR="00935B0C" w:rsidRDefault="00935B0C" w:rsidP="00561D39">
      <w:r>
        <w:t>This study set out to answer the following research questions:</w:t>
      </w:r>
    </w:p>
    <w:p w14:paraId="338C21D8" w14:textId="77777777" w:rsidR="00935B0C" w:rsidRDefault="00935B0C" w:rsidP="00935B0C">
      <w:pPr>
        <w:pStyle w:val="ListParagraph"/>
        <w:numPr>
          <w:ilvl w:val="0"/>
          <w:numId w:val="2"/>
        </w:numPr>
      </w:pPr>
      <w:r>
        <w:t>What relationship might exist between the presence of dissemination events in a geographical region and the number of downloads in the same region?</w:t>
      </w:r>
    </w:p>
    <w:p w14:paraId="3DAEC412" w14:textId="77777777" w:rsidR="00935B0C" w:rsidRDefault="00935B0C" w:rsidP="00935B0C">
      <w:pPr>
        <w:pStyle w:val="ListParagraph"/>
        <w:numPr>
          <w:ilvl w:val="0"/>
          <w:numId w:val="2"/>
        </w:numPr>
      </w:pPr>
      <w:r>
        <w:t>What relationship might exist between the audience size at the dissemination events held in a geographical region and the number of downloads in the same region?</w:t>
      </w:r>
    </w:p>
    <w:p w14:paraId="74A4B06A" w14:textId="6739F685" w:rsidR="00935B0C" w:rsidRDefault="00935B0C" w:rsidP="00935B0C">
      <w:pPr>
        <w:pStyle w:val="ListParagraph"/>
        <w:numPr>
          <w:ilvl w:val="0"/>
          <w:numId w:val="2"/>
        </w:numPr>
      </w:pPr>
      <w:r w:rsidRPr="00A24C58">
        <w:rPr>
          <w:color w:val="000000" w:themeColor="text1"/>
        </w:rPr>
        <w:t xml:space="preserve">What </w:t>
      </w:r>
      <w:r w:rsidR="00A24C58" w:rsidRPr="00A24C58">
        <w:rPr>
          <w:color w:val="000000" w:themeColor="text1"/>
        </w:rPr>
        <w:t xml:space="preserve">is the relative value </w:t>
      </w:r>
      <w:r>
        <w:t>of dissemination online and dissemination by event within a bimodal dissemination strategy?</w:t>
      </w:r>
    </w:p>
    <w:p w14:paraId="4CAB351E" w14:textId="77777777" w:rsidR="003E1EC2" w:rsidRDefault="003E1EC2" w:rsidP="00561D39"/>
    <w:p w14:paraId="096CF1FD" w14:textId="42D3A69A" w:rsidR="00935B0C" w:rsidRDefault="00935B0C" w:rsidP="00561D39">
      <w:r>
        <w:t xml:space="preserve">These are answered below, with reference to the study results and the wider literature. </w:t>
      </w:r>
    </w:p>
    <w:p w14:paraId="1D468F39" w14:textId="73B74E9E" w:rsidR="00A54B75" w:rsidRPr="00DF7736" w:rsidRDefault="003E1EC2" w:rsidP="00A54B75">
      <w:pPr>
        <w:pStyle w:val="Heading2"/>
        <w:rPr>
          <w:rStyle w:val="SubtleEmphasis"/>
          <w:b w:val="0"/>
          <w:color w:val="2F5496" w:themeColor="accent1" w:themeShade="BF"/>
        </w:rPr>
      </w:pPr>
      <w:r w:rsidRPr="001D4A1D">
        <w:rPr>
          <w:rStyle w:val="SubtleEmphasis"/>
          <w:i/>
          <w:iCs/>
          <w:color w:val="000000" w:themeColor="text1"/>
        </w:rPr>
        <w:t>The presence of dissemination events positively influences downloads</w:t>
      </w:r>
    </w:p>
    <w:p w14:paraId="0D24D8BC" w14:textId="77777777" w:rsidR="00D92748" w:rsidRDefault="003E1EC2" w:rsidP="005A5EEC">
      <w:pPr>
        <w:pStyle w:val="Paragraph"/>
      </w:pPr>
      <w:r w:rsidRPr="006A51A4">
        <w:rPr>
          <w:rStyle w:val="SubtleEmphasis"/>
          <w:color w:val="auto"/>
        </w:rPr>
        <w:t>S</w:t>
      </w:r>
      <w:r w:rsidRPr="006A51A4">
        <w:t>tatistical analysis of these data showed a significant link between dissemination events and</w:t>
      </w:r>
      <w:r w:rsidRPr="00D64593">
        <w:t xml:space="preserve"> higher levels of downloads of the TAPS pyramid</w:t>
      </w:r>
      <w:r w:rsidR="00D92748">
        <w:t xml:space="preserve"> in the same county</w:t>
      </w:r>
      <w:r w:rsidRPr="00D64593">
        <w:t>.</w:t>
      </w:r>
      <w:r w:rsidR="00D92748">
        <w:t xml:space="preserve"> There was also a positive relationship between the frequency of dissemination events and downloads of the resource.</w:t>
      </w:r>
      <w:r>
        <w:t xml:space="preserve"> </w:t>
      </w:r>
    </w:p>
    <w:p w14:paraId="36DB8FF7" w14:textId="60912935" w:rsidR="003E1EC2" w:rsidRDefault="003E1EC2" w:rsidP="00D92748">
      <w:pPr>
        <w:pStyle w:val="Paragraph"/>
      </w:pPr>
      <w:r>
        <w:t xml:space="preserve">While the precise content, duration and structure of these events will have varied, they shared the aim of introducing the TAPS Pyramid to an audience of primary teachers and science specialists. </w:t>
      </w:r>
      <w:r w:rsidR="005A5EEC">
        <w:t>Teachers who attended these events had the innovation presented to them by a knowledgeable linking agent (Louis 1980)</w:t>
      </w:r>
      <w:r w:rsidR="00D92748">
        <w:t xml:space="preserve">. </w:t>
      </w:r>
      <w:r w:rsidRPr="00D64593">
        <w:t xml:space="preserve">This in turn let them consider its value and potential application to their setting. This process of adaptation is </w:t>
      </w:r>
      <w:r>
        <w:t xml:space="preserve">a key concept in sociocultural theories of learning, and also </w:t>
      </w:r>
      <w:r w:rsidRPr="00D64593">
        <w:t xml:space="preserve">considered a </w:t>
      </w:r>
      <w:r w:rsidR="00B72433">
        <w:t>vital</w:t>
      </w:r>
      <w:r w:rsidRPr="00D64593">
        <w:t xml:space="preserve"> part of the dissemination process for education research outputs (</w:t>
      </w:r>
      <w:r w:rsidR="005A5EEC">
        <w:t xml:space="preserve">Klein and Gwaltney 1991, </w:t>
      </w:r>
      <w:r w:rsidRPr="00D64593">
        <w:t>Gravestock</w:t>
      </w:r>
      <w:r w:rsidR="005A5EEC">
        <w:t xml:space="preserve"> </w:t>
      </w:r>
      <w:r w:rsidRPr="00D64593">
        <w:t>200</w:t>
      </w:r>
      <w:r w:rsidR="005A5EEC">
        <w:t xml:space="preserve">2, </w:t>
      </w:r>
      <w:r w:rsidRPr="00D64593">
        <w:t>King 2003)</w:t>
      </w:r>
      <w:r>
        <w:t xml:space="preserve"> that makes it more likely that the resource will be used </w:t>
      </w:r>
      <w:r w:rsidR="00B72433">
        <w:t xml:space="preserve">by teachers </w:t>
      </w:r>
      <w:r>
        <w:t xml:space="preserve">to change </w:t>
      </w:r>
      <w:r w:rsidR="00B72433">
        <w:t xml:space="preserve">their </w:t>
      </w:r>
      <w:r>
        <w:t>practice. Th</w:t>
      </w:r>
      <w:r w:rsidRPr="00D64593">
        <w:t>ese data</w:t>
      </w:r>
      <w:r>
        <w:t xml:space="preserve"> </w:t>
      </w:r>
      <w:r w:rsidR="00B72433">
        <w:t xml:space="preserve">therefore </w:t>
      </w:r>
      <w:r>
        <w:t xml:space="preserve">provide support for the theory that increased understanding of </w:t>
      </w:r>
      <w:r>
        <w:lastRenderedPageBreak/>
        <w:t>the TAPS pyramid</w:t>
      </w:r>
      <w:r w:rsidR="00B72433">
        <w:t>, generated through dissemination events,</w:t>
      </w:r>
      <w:r>
        <w:t xml:space="preserve"> resulted in a greater interest in downloading a copy for subsequent use than in areas where no such events were held. </w:t>
      </w:r>
      <w:r w:rsidR="005A5EEC" w:rsidRPr="00D64593">
        <w:t>Th</w:t>
      </w:r>
      <w:r w:rsidR="00B72433">
        <w:t>ese results therefore show that dissemination</w:t>
      </w:r>
      <w:r w:rsidR="005A5EEC" w:rsidRPr="00D64593">
        <w:t xml:space="preserve"> events, while reaching a far smaller potential audience</w:t>
      </w:r>
      <w:r w:rsidR="005A5EEC">
        <w:t xml:space="preserve"> of in-service teachers</w:t>
      </w:r>
      <w:r w:rsidR="005A5EEC" w:rsidRPr="00D64593">
        <w:t xml:space="preserve"> than online dissemination, can nevertheless play an important part in a dissemination strategy</w:t>
      </w:r>
      <w:r w:rsidR="005A5EEC">
        <w:t xml:space="preserve"> by</w:t>
      </w:r>
      <w:r w:rsidR="005A5EEC" w:rsidRPr="00D64593">
        <w:t xml:space="preserve"> provid</w:t>
      </w:r>
      <w:r w:rsidR="005A5EEC">
        <w:t>ing</w:t>
      </w:r>
      <w:r w:rsidR="005A5EEC" w:rsidRPr="00D64593">
        <w:t xml:space="preserve"> a forum for education professionals to learn about a research output in detail. </w:t>
      </w:r>
      <w:r>
        <w:t xml:space="preserve"> </w:t>
      </w:r>
    </w:p>
    <w:p w14:paraId="37B1ABCE" w14:textId="00616E6E" w:rsidR="00A54B75" w:rsidRPr="001D4A1D" w:rsidRDefault="00A54B75" w:rsidP="00A54B75">
      <w:pPr>
        <w:pStyle w:val="Heading2"/>
        <w:rPr>
          <w:rStyle w:val="SubtleEmphasis"/>
          <w:i/>
          <w:iCs/>
          <w:color w:val="000000" w:themeColor="text1"/>
        </w:rPr>
      </w:pPr>
      <w:r w:rsidRPr="001D4A1D">
        <w:rPr>
          <w:rStyle w:val="SubtleEmphasis"/>
          <w:i/>
          <w:iCs/>
          <w:color w:val="000000" w:themeColor="text1"/>
        </w:rPr>
        <w:t xml:space="preserve">Larger dissemination events are </w:t>
      </w:r>
      <w:r w:rsidR="005624B5" w:rsidRPr="001D4A1D">
        <w:rPr>
          <w:rStyle w:val="SubtleEmphasis"/>
          <w:i/>
          <w:iCs/>
          <w:color w:val="000000" w:themeColor="text1"/>
        </w:rPr>
        <w:t>not shown to have a greater influence on downloads</w:t>
      </w:r>
    </w:p>
    <w:p w14:paraId="091586A7" w14:textId="3B1230B9" w:rsidR="005624B5" w:rsidRDefault="005624B5" w:rsidP="005624B5">
      <w:r w:rsidRPr="00D64593">
        <w:t xml:space="preserve">When the size of the audience at the dissemination event was taken into account, no significant difference was found between counties where large events were held, when compared to counties where only small or medium events were held. To interpret this result, </w:t>
      </w:r>
      <w:r w:rsidR="00B72433">
        <w:t>we should return to</w:t>
      </w:r>
      <w:r w:rsidRPr="003068DB">
        <w:t xml:space="preserve"> Klein and Gwaltney’s (1994) four</w:t>
      </w:r>
      <w:r w:rsidRPr="00D64593">
        <w:t xml:space="preserve"> levels of dissemination</w:t>
      </w:r>
      <w:r w:rsidR="00B72433">
        <w:t>, which is the theoretical framework for this study</w:t>
      </w:r>
      <w:r w:rsidRPr="00D64593">
        <w:t>. They p</w:t>
      </w:r>
      <w:r w:rsidR="00B72433">
        <w:t>ostulated</w:t>
      </w:r>
      <w:r w:rsidRPr="00D64593">
        <w:t xml:space="preserve"> two levels </w:t>
      </w:r>
      <w:r w:rsidR="00B72433">
        <w:t>of</w:t>
      </w:r>
      <w:r w:rsidRPr="00D64593">
        <w:t xml:space="preserve"> dissemination through events, based on the size of the audience</w:t>
      </w:r>
      <w:r w:rsidR="00B72433">
        <w:t>. According to this model,</w:t>
      </w:r>
      <w:r w:rsidRPr="00D64593">
        <w:t xml:space="preserve"> </w:t>
      </w:r>
      <w:r w:rsidR="00B72433">
        <w:t xml:space="preserve">an event with a larger audience, such as </w:t>
      </w:r>
      <w:r w:rsidRPr="00D64593">
        <w:t xml:space="preserve">a conference </w:t>
      </w:r>
      <w:r w:rsidR="00B72433">
        <w:t xml:space="preserve">keynote </w:t>
      </w:r>
      <w:r w:rsidRPr="00D64593">
        <w:t>speech</w:t>
      </w:r>
      <w:r w:rsidR="00B72433">
        <w:t>,</w:t>
      </w:r>
      <w:r w:rsidRPr="00D64593">
        <w:t xml:space="preserve"> </w:t>
      </w:r>
      <w:r w:rsidR="00B72433">
        <w:t xml:space="preserve">would result in dissemination for </w:t>
      </w:r>
      <w:r w:rsidR="00B72433" w:rsidRPr="00B72433">
        <w:rPr>
          <w:i/>
        </w:rPr>
        <w:t>choice</w:t>
      </w:r>
      <w:r w:rsidR="00B72433">
        <w:t>, in that the audience was made aware of the innovation. On the other hand, an event with a smaller audience, such as</w:t>
      </w:r>
      <w:r w:rsidRPr="00D64593">
        <w:t xml:space="preserve"> a seminar or workshop talk</w:t>
      </w:r>
      <w:r w:rsidR="00B72433">
        <w:t xml:space="preserve">, would result in dissemination for </w:t>
      </w:r>
      <w:r w:rsidR="00B72433" w:rsidRPr="00B72433">
        <w:rPr>
          <w:i/>
        </w:rPr>
        <w:t>exchange</w:t>
      </w:r>
      <w:r w:rsidR="00B72433">
        <w:t xml:space="preserve"> due to the increased opportunity for the audience to ask clarifying questions an engage in dialogue about the innovation being presented (Hutchinson and Huberman 1994)</w:t>
      </w:r>
      <w:r w:rsidRPr="00D64593">
        <w:t xml:space="preserve">. </w:t>
      </w:r>
    </w:p>
    <w:p w14:paraId="32623299" w14:textId="77777777" w:rsidR="00B72433" w:rsidRPr="00D64593" w:rsidRDefault="00B72433" w:rsidP="005624B5"/>
    <w:p w14:paraId="1E606BA2" w14:textId="77777777" w:rsidR="00B72433" w:rsidRDefault="005624B5" w:rsidP="005624B5">
      <w:pPr>
        <w:rPr>
          <w:iCs/>
        </w:rPr>
      </w:pPr>
      <w:r w:rsidRPr="00D64593">
        <w:t xml:space="preserve">These </w:t>
      </w:r>
      <w:r w:rsidR="00B72433">
        <w:t>results seem to</w:t>
      </w:r>
      <w:r w:rsidRPr="00D64593">
        <w:t xml:space="preserve"> </w:t>
      </w:r>
      <w:r w:rsidRPr="003068DB">
        <w:t>confirm Klein and Gwaltney’s view</w:t>
      </w:r>
      <w:r w:rsidRPr="00D64593">
        <w:t xml:space="preserve"> </w:t>
      </w:r>
      <w:r w:rsidR="00B72433">
        <w:t>about the relative effectiveness of larger and smaller events</w:t>
      </w:r>
      <w:r w:rsidRPr="00D64593">
        <w:t xml:space="preserve">, both through statistical testing for significance and from examples from the raw data. </w:t>
      </w:r>
      <w:r w:rsidRPr="00D64593">
        <w:rPr>
          <w:iCs/>
        </w:rPr>
        <w:t xml:space="preserve">For example, a large dissemination event with an audience of 300 was hosted in May 2016 in the county of South Yorkshire. There was no significant peak in downloads in the month when the event was held, nor was there evidence of “overspill” of downloads into the following month (McKenzie and </w:t>
      </w:r>
      <w:r w:rsidRPr="00D64593">
        <w:rPr>
          <w:rFonts w:cstheme="minorHAnsi"/>
          <w:iCs/>
        </w:rPr>
        <w:t>Ö</w:t>
      </w:r>
      <w:r w:rsidRPr="00D64593">
        <w:rPr>
          <w:iCs/>
        </w:rPr>
        <w:t xml:space="preserve">zler 2011). The TAPS pyramid was </w:t>
      </w:r>
      <w:r w:rsidRPr="00D64593">
        <w:rPr>
          <w:iCs/>
        </w:rPr>
        <w:lastRenderedPageBreak/>
        <w:t>downloaded 29 times in this county during the specified time period, or 0.09 copies for every person attending a dissemination event. In the county of Devon, three small and one medium sized dissemination events were</w:t>
      </w:r>
      <w:r>
        <w:rPr>
          <w:iCs/>
        </w:rPr>
        <w:t xml:space="preserve"> known to have been</w:t>
      </w:r>
      <w:r w:rsidRPr="00D64593">
        <w:rPr>
          <w:iCs/>
        </w:rPr>
        <w:t xml:space="preserve"> held during the same time period. The total estimated audience for these events was only 74, but the TAPS pyramid was downloaded 75 times in this county, or 1.01 times for every person attending.</w:t>
      </w:r>
    </w:p>
    <w:p w14:paraId="1170B986" w14:textId="6361149B" w:rsidR="005624B5" w:rsidRPr="00B72433" w:rsidRDefault="005624B5" w:rsidP="005624B5">
      <w:r w:rsidRPr="00D64593">
        <w:rPr>
          <w:iCs/>
        </w:rPr>
        <w:t xml:space="preserve"> </w:t>
      </w:r>
    </w:p>
    <w:p w14:paraId="028D7D88" w14:textId="5869DFB0" w:rsidR="005624B5" w:rsidRPr="00B72433" w:rsidRDefault="005624B5" w:rsidP="00B72433">
      <w:pPr>
        <w:rPr>
          <w:iCs/>
        </w:rPr>
      </w:pPr>
      <w:r w:rsidRPr="00D64593">
        <w:rPr>
          <w:iCs/>
        </w:rPr>
        <w:t xml:space="preserve">These findings </w:t>
      </w:r>
      <w:r w:rsidR="00B72433">
        <w:rPr>
          <w:iCs/>
        </w:rPr>
        <w:t xml:space="preserve">therefore </w:t>
      </w:r>
      <w:r w:rsidRPr="00D64593">
        <w:rPr>
          <w:iCs/>
        </w:rPr>
        <w:t xml:space="preserve">provide evidence for a qualitative difference between dissemination events of different sizes. </w:t>
      </w:r>
      <w:r w:rsidR="00B72433">
        <w:rPr>
          <w:iCs/>
        </w:rPr>
        <w:t>It can be argued that t</w:t>
      </w:r>
      <w:r w:rsidRPr="00D64593">
        <w:rPr>
          <w:iCs/>
        </w:rPr>
        <w:t xml:space="preserve">hose attending the smaller events benefited from dissemination for </w:t>
      </w:r>
      <w:r w:rsidRPr="00D64593">
        <w:rPr>
          <w:i/>
          <w:iCs/>
        </w:rPr>
        <w:t>exchange</w:t>
      </w:r>
      <w:r w:rsidRPr="00D64593">
        <w:rPr>
          <w:iCs/>
        </w:rPr>
        <w:t xml:space="preserve">, and the opportunity to consider the TAPS pyramid with their peers, engaging in authentic learning and drawing examples from their everyday practice (Van der Linden et al. 2012). </w:t>
      </w:r>
    </w:p>
    <w:p w14:paraId="339F340B" w14:textId="4923C8CE" w:rsidR="00BD72D8" w:rsidRPr="001D4A1D" w:rsidRDefault="00BD72D8" w:rsidP="00BD72D8">
      <w:pPr>
        <w:pStyle w:val="Heading2"/>
        <w:rPr>
          <w:rStyle w:val="SubtleEmphasis"/>
          <w:i/>
          <w:iCs/>
          <w:color w:val="000000" w:themeColor="text1"/>
        </w:rPr>
      </w:pPr>
      <w:r w:rsidRPr="001D4A1D">
        <w:rPr>
          <w:rStyle w:val="SubtleEmphasis"/>
          <w:i/>
          <w:iCs/>
          <w:color w:val="000000" w:themeColor="text1"/>
        </w:rPr>
        <w:t xml:space="preserve">The </w:t>
      </w:r>
      <w:r w:rsidR="00DC0C73" w:rsidRPr="001D4A1D">
        <w:rPr>
          <w:rStyle w:val="SubtleEmphasis"/>
          <w:i/>
          <w:iCs/>
          <w:color w:val="000000" w:themeColor="text1"/>
        </w:rPr>
        <w:t>role of online dissemination in a bimodal dissemination strategy to in-service teachers</w:t>
      </w:r>
    </w:p>
    <w:p w14:paraId="2261E79D" w14:textId="77777777" w:rsidR="001E0D4A" w:rsidRDefault="00561D39" w:rsidP="000D5286">
      <w:pPr>
        <w:pStyle w:val="Paragraph"/>
        <w:rPr>
          <w:rStyle w:val="SubtleEmphasis"/>
          <w:i w:val="0"/>
          <w:color w:val="auto"/>
        </w:rPr>
      </w:pPr>
      <w:r w:rsidRPr="006C5AC6">
        <w:rPr>
          <w:rStyle w:val="SubtleEmphasis"/>
          <w:i w:val="0"/>
          <w:color w:val="auto"/>
        </w:rPr>
        <w:t xml:space="preserve">The discussion so far has </w:t>
      </w:r>
      <w:r w:rsidR="006F376C">
        <w:rPr>
          <w:rStyle w:val="SubtleEmphasis"/>
          <w:i w:val="0"/>
          <w:color w:val="auto"/>
        </w:rPr>
        <w:t xml:space="preserve">largely </w:t>
      </w:r>
      <w:r w:rsidRPr="006C5AC6">
        <w:rPr>
          <w:rStyle w:val="SubtleEmphasis"/>
          <w:i w:val="0"/>
          <w:color w:val="auto"/>
        </w:rPr>
        <w:t xml:space="preserve">focused upon the influence of dissemination events and face-to-face networks for spreading innovations. But </w:t>
      </w:r>
      <w:r w:rsidR="00D55791">
        <w:rPr>
          <w:rStyle w:val="SubtleEmphasis"/>
          <w:i w:val="0"/>
          <w:color w:val="auto"/>
        </w:rPr>
        <w:t xml:space="preserve">education </w:t>
      </w:r>
      <w:r w:rsidR="00E9521F">
        <w:rPr>
          <w:rStyle w:val="SubtleEmphasis"/>
          <w:i w:val="0"/>
          <w:color w:val="auto"/>
        </w:rPr>
        <w:t>is a global concern, and innovations have a potential use beyond country borders</w:t>
      </w:r>
      <w:r w:rsidR="001E0D4A">
        <w:rPr>
          <w:rStyle w:val="SubtleEmphasis"/>
          <w:i w:val="0"/>
          <w:color w:val="auto"/>
        </w:rPr>
        <w:t xml:space="preserve">, so </w:t>
      </w:r>
      <w:r w:rsidR="00E9521F">
        <w:rPr>
          <w:rStyle w:val="SubtleEmphasis"/>
          <w:i w:val="0"/>
          <w:color w:val="auto"/>
        </w:rPr>
        <w:t xml:space="preserve">what happens when </w:t>
      </w:r>
      <w:r w:rsidR="00DC0C73">
        <w:rPr>
          <w:rStyle w:val="SubtleEmphasis"/>
          <w:i w:val="0"/>
          <w:color w:val="auto"/>
        </w:rPr>
        <w:t>it is not possible to hold dissemination events?</w:t>
      </w:r>
      <w:r w:rsidR="00E9521F">
        <w:rPr>
          <w:rStyle w:val="SubtleEmphasis"/>
          <w:i w:val="0"/>
          <w:color w:val="auto"/>
        </w:rPr>
        <w:t xml:space="preserve"> </w:t>
      </w:r>
    </w:p>
    <w:p w14:paraId="73A4EF35" w14:textId="0BF8E1E8" w:rsidR="001E0D4A" w:rsidRPr="001E0D4A" w:rsidRDefault="001E0D4A" w:rsidP="001E0D4A">
      <w:pPr>
        <w:rPr>
          <w:rStyle w:val="SubtleEmphasis"/>
          <w:i w:val="0"/>
          <w:color w:val="auto"/>
        </w:rPr>
      </w:pPr>
      <w:r w:rsidRPr="001E0D4A">
        <w:rPr>
          <w:rStyle w:val="SubtleEmphasis"/>
          <w:i w:val="0"/>
          <w:color w:val="auto"/>
        </w:rPr>
        <w:t>The finding that the TAPS pyramid was downloaded 134 times in 45 non-UK countries demonstrates that online dissemination is a highly effective strategy for achieving dissemination for</w:t>
      </w:r>
      <w:r>
        <w:rPr>
          <w:rStyle w:val="SubtleEmphasis"/>
          <w:i w:val="0"/>
          <w:color w:val="auto"/>
        </w:rPr>
        <w:t xml:space="preserve"> spread</w:t>
      </w:r>
      <w:r w:rsidRPr="001E0D4A">
        <w:rPr>
          <w:rStyle w:val="SubtleEmphasis"/>
          <w:i w:val="0"/>
          <w:color w:val="auto"/>
        </w:rPr>
        <w:t xml:space="preserve"> at an international level. The internet also played a crucial role for dissemination for awareness within the UK, where 2764 copies were downloaded during the specified time period. In countries such as Scotland and Wales, with widely dispersed populations and no known dissemination activity, online dissemination was the only dissemination mode used, and can therefore be assumed crucial to its penetration of those territories. Equally, in UK counties where there were no known dissemination events, there is </w:t>
      </w:r>
      <w:r w:rsidRPr="001E0D4A">
        <w:rPr>
          <w:rStyle w:val="SubtleEmphasis"/>
          <w:i w:val="0"/>
          <w:color w:val="auto"/>
        </w:rPr>
        <w:lastRenderedPageBreak/>
        <w:t>evidence, through download activity, of the TAPS pyramid being found online nevertheless by potential users.  This study therefore provides clear evidence that online dissemination is an effective strategy for reaching a wide potential audience with research innovations in the field of primary science, at both the national and international level.</w:t>
      </w:r>
    </w:p>
    <w:p w14:paraId="7A6F39FC" w14:textId="77777777" w:rsidR="00B72433" w:rsidRDefault="00B72433" w:rsidP="00B72433">
      <w:pPr>
        <w:rPr>
          <w:rStyle w:val="SubtleEmphasis"/>
          <w:i w:val="0"/>
          <w:color w:val="auto"/>
        </w:rPr>
      </w:pPr>
    </w:p>
    <w:p w14:paraId="09D450F2" w14:textId="24AFC282" w:rsidR="00B72433" w:rsidRDefault="00B72433" w:rsidP="00B72433">
      <w:pPr>
        <w:rPr>
          <w:rStyle w:val="SubtleEmphasis"/>
          <w:i w:val="0"/>
          <w:color w:val="auto"/>
        </w:rPr>
      </w:pPr>
      <w:r w:rsidRPr="001E0D4A">
        <w:rPr>
          <w:rStyle w:val="SubtleEmphasis"/>
          <w:i w:val="0"/>
          <w:color w:val="auto"/>
        </w:rPr>
        <w:t xml:space="preserve">These findings chime with Duffy’s (2000) view that the internet has democratised the availability of new ideas; anyone with a browser and search engine is free to find them.  </w:t>
      </w:r>
      <w:r>
        <w:rPr>
          <w:rStyle w:val="SubtleEmphasis"/>
          <w:i w:val="0"/>
          <w:color w:val="auto"/>
        </w:rPr>
        <w:t xml:space="preserve">It also </w:t>
      </w:r>
      <w:r w:rsidRPr="001E0D4A">
        <w:rPr>
          <w:rStyle w:val="SubtleEmphasis"/>
          <w:i w:val="0"/>
          <w:color w:val="auto"/>
        </w:rPr>
        <w:t>contradicts the view that resources that are issued online can be lost amongst the endless proliferation of innovations and ideas being published (Siemens, 2005). It is worth noting, however, that the TAPS pyramid was hosted on the Primary Science Teaching Trust’s website. This organisation is recognised for its advocacy and expertise in the curriculum area of primary science, so a potential user who found the TAPS pyramid in a list of search results might have been persuaded to pursue it by their trust in the dissemination channel (Kirst, 200</w:t>
      </w:r>
      <w:r w:rsidR="003F2F8F">
        <w:rPr>
          <w:rStyle w:val="SubtleEmphasis"/>
          <w:i w:val="0"/>
          <w:color w:val="auto"/>
        </w:rPr>
        <w:t>0</w:t>
      </w:r>
      <w:r w:rsidRPr="001E0D4A">
        <w:rPr>
          <w:rStyle w:val="SubtleEmphasis"/>
          <w:i w:val="0"/>
          <w:color w:val="auto"/>
        </w:rPr>
        <w:t xml:space="preserve">). </w:t>
      </w:r>
    </w:p>
    <w:p w14:paraId="7C148D4B" w14:textId="65FF2FA9" w:rsidR="001E0D4A" w:rsidRPr="001E0D4A" w:rsidRDefault="001E0D4A" w:rsidP="001E0D4A">
      <w:pPr>
        <w:pStyle w:val="Paragraph"/>
        <w:rPr>
          <w:rStyle w:val="SubtleEmphasis"/>
          <w:i w:val="0"/>
          <w:color w:val="auto"/>
        </w:rPr>
      </w:pPr>
      <w:r w:rsidRPr="001E0D4A">
        <w:rPr>
          <w:rStyle w:val="SubtleEmphasis"/>
          <w:i w:val="0"/>
          <w:color w:val="auto"/>
        </w:rPr>
        <w:t>The lower overall download figures in areas where there were no dissemination events, however, confirm the view that dissemination online is not a complete dissemination strategy (Cooper, 2014) and that the effectiveness of a dissemination strategy is enhanced by the use of dissemination events alongside online availability (Edelstein, Levin and Shah, 2012).</w:t>
      </w:r>
    </w:p>
    <w:p w14:paraId="6138975A" w14:textId="10845821" w:rsidR="00BD72D8" w:rsidRPr="001E0D4A" w:rsidRDefault="001E0D4A" w:rsidP="001E0D4A">
      <w:pPr>
        <w:pStyle w:val="Paragraph"/>
        <w:rPr>
          <w:iCs/>
        </w:rPr>
      </w:pPr>
      <w:r>
        <w:rPr>
          <w:rStyle w:val="SubtleEmphasis"/>
          <w:i w:val="0"/>
          <w:color w:val="auto"/>
        </w:rPr>
        <w:t>Taken as a whole</w:t>
      </w:r>
      <w:r w:rsidR="003956E6">
        <w:rPr>
          <w:rStyle w:val="SubtleEmphasis"/>
          <w:i w:val="0"/>
          <w:color w:val="auto"/>
        </w:rPr>
        <w:t xml:space="preserve">, these </w:t>
      </w:r>
      <w:r w:rsidR="00B72433">
        <w:rPr>
          <w:rStyle w:val="SubtleEmphasis"/>
          <w:i w:val="0"/>
          <w:color w:val="auto"/>
        </w:rPr>
        <w:t>findings</w:t>
      </w:r>
      <w:r w:rsidR="003956E6">
        <w:rPr>
          <w:rStyle w:val="SubtleEmphasis"/>
          <w:i w:val="0"/>
          <w:color w:val="auto"/>
        </w:rPr>
        <w:t xml:space="preserve"> underscore the value of a bimodal dissemination strategy for reaching in-service primary teachers, whereby the innovation is made passively available online but also actively promoted to a carefully targeted audience</w:t>
      </w:r>
      <w:r>
        <w:rPr>
          <w:rStyle w:val="SubtleEmphasis"/>
          <w:i w:val="0"/>
          <w:color w:val="auto"/>
        </w:rPr>
        <w:t xml:space="preserve"> through</w:t>
      </w:r>
      <w:r w:rsidR="0058208A">
        <w:rPr>
          <w:rStyle w:val="SubtleEmphasis"/>
          <w:i w:val="0"/>
          <w:color w:val="auto"/>
        </w:rPr>
        <w:t xml:space="preserve"> </w:t>
      </w:r>
      <w:r>
        <w:rPr>
          <w:rStyle w:val="SubtleEmphasis"/>
          <w:i w:val="0"/>
          <w:color w:val="auto"/>
        </w:rPr>
        <w:t>dissemination events</w:t>
      </w:r>
      <w:r w:rsidR="0058208A">
        <w:rPr>
          <w:rStyle w:val="SubtleEmphasis"/>
          <w:i w:val="0"/>
          <w:color w:val="auto"/>
        </w:rPr>
        <w:t xml:space="preserve"> that, ideally, permit some interaction between the presenter and the audience</w:t>
      </w:r>
      <w:r>
        <w:rPr>
          <w:rStyle w:val="SubtleEmphasis"/>
          <w:i w:val="0"/>
          <w:color w:val="auto"/>
        </w:rPr>
        <w:t>.</w:t>
      </w:r>
    </w:p>
    <w:p w14:paraId="4A49D674" w14:textId="67383B02" w:rsidR="00BD72D8" w:rsidRDefault="00BD72D8" w:rsidP="00BD72D8">
      <w:pPr>
        <w:pStyle w:val="Heading2"/>
      </w:pPr>
      <w:r>
        <w:t>Directions for future research</w:t>
      </w:r>
    </w:p>
    <w:p w14:paraId="51EB59A0" w14:textId="1CDC4B84" w:rsidR="00FA2FBB" w:rsidRDefault="003956E6" w:rsidP="000D5286">
      <w:pPr>
        <w:pStyle w:val="Paragraph"/>
      </w:pPr>
      <w:r>
        <w:t xml:space="preserve">This study used an innovative approach to measuring resource dissemination through </w:t>
      </w:r>
      <w:r>
        <w:lastRenderedPageBreak/>
        <w:t xml:space="preserve">downloads. More studies of this nature are needed to validate and refine this approach. </w:t>
      </w:r>
      <w:r w:rsidR="00FA2FBB">
        <w:t xml:space="preserve">We have </w:t>
      </w:r>
      <w:r w:rsidR="00023D91">
        <w:t xml:space="preserve">also </w:t>
      </w:r>
      <w:r w:rsidR="00FA2FBB">
        <w:t xml:space="preserve">suggested that the format and function of a larger dissemination event might be qualitatively different to that of a smaller event. More data is needed to further probe this theory, and to explore the nature of the interaction and co-construction of knowledge which is possible at dissemination events of different sizes. </w:t>
      </w:r>
    </w:p>
    <w:p w14:paraId="086A65C2" w14:textId="10407534" w:rsidR="008F7B2F" w:rsidRDefault="006A4844" w:rsidP="000D5286">
      <w:pPr>
        <w:pStyle w:val="Paragraph"/>
      </w:pPr>
      <w:r>
        <w:t>The design-based approach</w:t>
      </w:r>
      <w:r w:rsidR="008F7B2F">
        <w:t xml:space="preserve"> of the research being disseminated i</w:t>
      </w:r>
      <w:r w:rsidR="00BD7D53">
        <w:t xml:space="preserve">s also </w:t>
      </w:r>
      <w:r w:rsidR="008F7B2F">
        <w:t>si</w:t>
      </w:r>
      <w:r>
        <w:t>gnificant</w:t>
      </w:r>
      <w:r w:rsidR="00A95F95">
        <w:t xml:space="preserve">. As </w:t>
      </w:r>
      <w:r w:rsidR="008F7B2F">
        <w:t xml:space="preserve">researchers are increasingly being encouraged to build in strategies for knowledge exchange and impact into their project design, </w:t>
      </w:r>
      <w:r w:rsidR="00A95F95">
        <w:t>the relationship between the research approach and form of dissemination warrants further exploration.</w:t>
      </w:r>
    </w:p>
    <w:p w14:paraId="4CDA3CE5" w14:textId="77777777" w:rsidR="00561D39" w:rsidRDefault="00561D39" w:rsidP="00561D39">
      <w:pPr>
        <w:rPr>
          <w:rStyle w:val="SubtleEmphasis"/>
          <w:i w:val="0"/>
        </w:rPr>
      </w:pPr>
    </w:p>
    <w:p w14:paraId="6B5EFB00" w14:textId="463C50DC" w:rsidR="00561D39" w:rsidRPr="009321B2" w:rsidRDefault="00561D39" w:rsidP="009321B2">
      <w:pPr>
        <w:pStyle w:val="Heading2"/>
        <w:rPr>
          <w:rStyle w:val="SubtleEmphasis"/>
          <w:i/>
          <w:iCs/>
          <w:color w:val="auto"/>
        </w:rPr>
      </w:pPr>
      <w:r w:rsidRPr="009321B2">
        <w:rPr>
          <w:rStyle w:val="SubtleEmphasis"/>
          <w:color w:val="auto"/>
        </w:rPr>
        <w:t>C</w:t>
      </w:r>
      <w:r w:rsidR="009321B2" w:rsidRPr="009321B2">
        <w:rPr>
          <w:rStyle w:val="SubtleEmphasis"/>
          <w:color w:val="auto"/>
        </w:rPr>
        <w:t>onclusion</w:t>
      </w:r>
    </w:p>
    <w:p w14:paraId="32EE323F" w14:textId="77777777" w:rsidR="0058208A" w:rsidRPr="001D4A1D" w:rsidRDefault="00935B0C" w:rsidP="000D5286">
      <w:pPr>
        <w:pStyle w:val="Paragraph"/>
        <w:rPr>
          <w:color w:val="000000" w:themeColor="text1"/>
        </w:rPr>
      </w:pPr>
      <w:r w:rsidRPr="001D4A1D">
        <w:rPr>
          <w:color w:val="000000" w:themeColor="text1"/>
        </w:rPr>
        <w:t>Through</w:t>
      </w:r>
      <w:r w:rsidR="00767288" w:rsidRPr="001D4A1D">
        <w:rPr>
          <w:color w:val="000000" w:themeColor="text1"/>
        </w:rPr>
        <w:t xml:space="preserve"> an innovative approach to mapping dissemination events against</w:t>
      </w:r>
      <w:r w:rsidRPr="001D4A1D">
        <w:rPr>
          <w:color w:val="000000" w:themeColor="text1"/>
        </w:rPr>
        <w:t xml:space="preserve"> innovation downloads </w:t>
      </w:r>
      <w:r w:rsidR="00767288" w:rsidRPr="001D4A1D">
        <w:rPr>
          <w:color w:val="000000" w:themeColor="text1"/>
        </w:rPr>
        <w:t>over time</w:t>
      </w:r>
      <w:r w:rsidRPr="001D4A1D">
        <w:rPr>
          <w:color w:val="000000" w:themeColor="text1"/>
        </w:rPr>
        <w:t xml:space="preserve">, this study has demonstrated the </w:t>
      </w:r>
      <w:r w:rsidR="00767288" w:rsidRPr="001D4A1D">
        <w:rPr>
          <w:color w:val="000000" w:themeColor="text1"/>
        </w:rPr>
        <w:t xml:space="preserve">potential benefits to research teams of pursuing a bimodal dissemination strategy to reach in-service primary teachers. </w:t>
      </w:r>
    </w:p>
    <w:p w14:paraId="7198B1A7" w14:textId="227EFF83" w:rsidR="00561D39" w:rsidRDefault="00767288" w:rsidP="000D5286">
      <w:pPr>
        <w:pStyle w:val="Paragraph"/>
      </w:pPr>
      <w:r w:rsidRPr="001D4A1D">
        <w:rPr>
          <w:color w:val="000000" w:themeColor="text1"/>
        </w:rPr>
        <w:t xml:space="preserve">Based on the results of this study, it is recommended that a bimodal dissemination strategy of active outreach to the target audience </w:t>
      </w:r>
      <w:r w:rsidR="0058208A" w:rsidRPr="001D4A1D">
        <w:rPr>
          <w:color w:val="000000" w:themeColor="text1"/>
        </w:rPr>
        <w:t xml:space="preserve">of in-service teachers </w:t>
      </w:r>
      <w:r w:rsidRPr="001D4A1D">
        <w:rPr>
          <w:color w:val="000000" w:themeColor="text1"/>
        </w:rPr>
        <w:t xml:space="preserve">through </w:t>
      </w:r>
      <w:r>
        <w:t xml:space="preserve">face-to-face events is </w:t>
      </w:r>
      <w:r w:rsidRPr="001D4A1D">
        <w:rPr>
          <w:color w:val="000000" w:themeColor="text1"/>
        </w:rPr>
        <w:t>considered</w:t>
      </w:r>
      <w:r w:rsidR="0058208A" w:rsidRPr="001D4A1D">
        <w:rPr>
          <w:color w:val="000000" w:themeColor="text1"/>
        </w:rPr>
        <w:t xml:space="preserve"> to enable dissemination for </w:t>
      </w:r>
      <w:r w:rsidR="0058208A" w:rsidRPr="001D4A1D">
        <w:rPr>
          <w:i/>
          <w:color w:val="000000" w:themeColor="text1"/>
        </w:rPr>
        <w:t>choice</w:t>
      </w:r>
      <w:r w:rsidR="0058208A" w:rsidRPr="001D4A1D">
        <w:rPr>
          <w:color w:val="000000" w:themeColor="text1"/>
        </w:rPr>
        <w:t xml:space="preserve"> or </w:t>
      </w:r>
      <w:r w:rsidR="0058208A" w:rsidRPr="001D4A1D">
        <w:rPr>
          <w:i/>
          <w:color w:val="000000" w:themeColor="text1"/>
        </w:rPr>
        <w:t>exchange</w:t>
      </w:r>
      <w:r w:rsidRPr="001D4A1D">
        <w:rPr>
          <w:color w:val="000000" w:themeColor="text1"/>
        </w:rPr>
        <w:t>, alongside the passive availability of the innovation online</w:t>
      </w:r>
      <w:r w:rsidR="0058208A" w:rsidRPr="001D4A1D">
        <w:rPr>
          <w:color w:val="000000" w:themeColor="text1"/>
        </w:rPr>
        <w:t xml:space="preserve"> to enable dissemination for </w:t>
      </w:r>
      <w:r w:rsidR="0058208A" w:rsidRPr="001D4A1D">
        <w:rPr>
          <w:i/>
          <w:color w:val="000000" w:themeColor="text1"/>
        </w:rPr>
        <w:t>spread</w:t>
      </w:r>
      <w:r w:rsidRPr="001D4A1D">
        <w:rPr>
          <w:color w:val="000000" w:themeColor="text1"/>
        </w:rPr>
        <w:t xml:space="preserve">. This is because </w:t>
      </w:r>
      <w:r>
        <w:t>the data from this study have shown that t</w:t>
      </w:r>
      <w:r w:rsidR="006F376C">
        <w:t>he internet</w:t>
      </w:r>
      <w:r w:rsidR="003C03D2">
        <w:t xml:space="preserve"> plays a crucial role in disseminati</w:t>
      </w:r>
      <w:r w:rsidR="0058208A">
        <w:t>on for spread</w:t>
      </w:r>
      <w:r w:rsidR="003C03D2">
        <w:t>, both nationally and internationally, but it cannot fulfil the social and interactional requirements of dissemination for</w:t>
      </w:r>
      <w:r w:rsidR="0058208A">
        <w:t xml:space="preserve"> </w:t>
      </w:r>
      <w:r w:rsidR="0058208A" w:rsidRPr="0058208A">
        <w:rPr>
          <w:i/>
        </w:rPr>
        <w:t>choice</w:t>
      </w:r>
      <w:r w:rsidR="0058208A">
        <w:t xml:space="preserve"> or</w:t>
      </w:r>
      <w:r w:rsidR="0058208A" w:rsidRPr="0058208A">
        <w:rPr>
          <w:color w:val="1F3864" w:themeColor="accent1" w:themeShade="80"/>
        </w:rPr>
        <w:t xml:space="preserve"> </w:t>
      </w:r>
      <w:r w:rsidR="0058208A" w:rsidRPr="0058208A">
        <w:rPr>
          <w:i/>
          <w:color w:val="000000" w:themeColor="text1"/>
        </w:rPr>
        <w:t>exchange</w:t>
      </w:r>
      <w:r w:rsidR="0058208A" w:rsidRPr="0058208A">
        <w:rPr>
          <w:color w:val="1F3864" w:themeColor="accent1" w:themeShade="80"/>
        </w:rPr>
        <w:t xml:space="preserve"> </w:t>
      </w:r>
      <w:r w:rsidR="006F376C">
        <w:t>to busy classroom practitioners</w:t>
      </w:r>
      <w:r w:rsidR="003C03D2">
        <w:t xml:space="preserve">. </w:t>
      </w:r>
      <w:r w:rsidR="00A95F95">
        <w:t>Face to face d</w:t>
      </w:r>
      <w:r w:rsidR="00561D39">
        <w:t xml:space="preserve">issemination events </w:t>
      </w:r>
      <w:r w:rsidR="0058208A">
        <w:t xml:space="preserve">can </w:t>
      </w:r>
      <w:r w:rsidR="00561D39">
        <w:t>stimulate interest in</w:t>
      </w:r>
      <w:r w:rsidR="0058208A">
        <w:t>,</w:t>
      </w:r>
      <w:r w:rsidR="00561D39">
        <w:t xml:space="preserve"> and understanding of</w:t>
      </w:r>
      <w:r w:rsidR="0058208A">
        <w:t>,</w:t>
      </w:r>
      <w:r w:rsidR="00561D39">
        <w:t xml:space="preserve"> a research innovation</w:t>
      </w:r>
      <w:r w:rsidR="0040443A">
        <w:t xml:space="preserve">. </w:t>
      </w:r>
      <w:r>
        <w:t>Furthermore,</w:t>
      </w:r>
      <w:r w:rsidR="00561D39">
        <w:t xml:space="preserve"> the increased interactivity and opportunity to ask questions at small to medium sized </w:t>
      </w:r>
      <w:r w:rsidR="00EC017D">
        <w:t xml:space="preserve">dissemination </w:t>
      </w:r>
      <w:r w:rsidR="00561D39">
        <w:t xml:space="preserve">events permits dissemination for </w:t>
      </w:r>
      <w:r w:rsidR="0058208A" w:rsidRPr="0058208A">
        <w:rPr>
          <w:i/>
        </w:rPr>
        <w:t>exchange</w:t>
      </w:r>
      <w:r>
        <w:t xml:space="preserve">, </w:t>
      </w:r>
      <w:r w:rsidR="0058208A">
        <w:t>facilitating</w:t>
      </w:r>
      <w:r w:rsidR="00561D39">
        <w:t xml:space="preserve"> the </w:t>
      </w:r>
      <w:r w:rsidR="0058208A">
        <w:t xml:space="preserve">in-service </w:t>
      </w:r>
      <w:r w:rsidR="0058208A">
        <w:lastRenderedPageBreak/>
        <w:t>teacher</w:t>
      </w:r>
      <w:r w:rsidR="00561D39">
        <w:t>’s reflection upon how they might best use the innovation</w:t>
      </w:r>
      <w:r w:rsidR="0058208A">
        <w:t>, thereby</w:t>
      </w:r>
      <w:r>
        <w:t xml:space="preserve"> stimulat</w:t>
      </w:r>
      <w:r w:rsidR="0058208A">
        <w:t>ing</w:t>
      </w:r>
      <w:r>
        <w:t xml:space="preserve"> download activity</w:t>
      </w:r>
      <w:r w:rsidRPr="001D4A1D">
        <w:rPr>
          <w:color w:val="000000" w:themeColor="text1"/>
        </w:rPr>
        <w:t xml:space="preserve">. For this reason, we would recommend dissemination events of a small to medium size as optimal. </w:t>
      </w:r>
    </w:p>
    <w:p w14:paraId="4290BFA9" w14:textId="77777777" w:rsidR="00B53FFD" w:rsidRDefault="00B53FFD" w:rsidP="00561D39"/>
    <w:p w14:paraId="4F591F98" w14:textId="1439C2CD" w:rsidR="00561D39" w:rsidRDefault="007144D6" w:rsidP="000B5856">
      <w:pPr>
        <w:pStyle w:val="Acknowledgements"/>
      </w:pPr>
      <w:r>
        <w:t xml:space="preserve">This research was funded by the Primary Science Teaching Trust. </w:t>
      </w:r>
    </w:p>
    <w:p w14:paraId="79083909" w14:textId="77777777" w:rsidR="00561D39" w:rsidRDefault="00561D39"/>
    <w:p w14:paraId="4DE5829C" w14:textId="77777777" w:rsidR="00304A5A" w:rsidRDefault="00304A5A" w:rsidP="00561D39">
      <w:pPr>
        <w:pStyle w:val="Heading3"/>
      </w:pPr>
    </w:p>
    <w:p w14:paraId="4B80FC7D" w14:textId="61E669E1" w:rsidR="00561D39" w:rsidRPr="001D1E49" w:rsidRDefault="009321B2" w:rsidP="009321B2">
      <w:pPr>
        <w:pStyle w:val="Heading1"/>
      </w:pPr>
      <w:r>
        <w:t>References</w:t>
      </w:r>
    </w:p>
    <w:p w14:paraId="2D1ED8FE" w14:textId="69B29C51" w:rsidR="00561D39" w:rsidRPr="004B018C" w:rsidRDefault="00561D39" w:rsidP="00466E1F">
      <w:pPr>
        <w:pStyle w:val="References"/>
      </w:pPr>
      <w:r w:rsidRPr="004B018C">
        <w:t xml:space="preserve">Ball, A. and and Duke, M. (2015) </w:t>
      </w:r>
      <w:r w:rsidRPr="004B018C">
        <w:rPr>
          <w:i/>
          <w:iCs/>
        </w:rPr>
        <w:t xml:space="preserve">How to </w:t>
      </w:r>
      <w:r w:rsidR="0095156F">
        <w:rPr>
          <w:i/>
          <w:iCs/>
        </w:rPr>
        <w:t>T</w:t>
      </w:r>
      <w:r w:rsidRPr="004B018C">
        <w:rPr>
          <w:i/>
          <w:iCs/>
        </w:rPr>
        <w:t xml:space="preserve">rack the </w:t>
      </w:r>
      <w:r w:rsidR="0095156F">
        <w:rPr>
          <w:i/>
          <w:iCs/>
        </w:rPr>
        <w:t>I</w:t>
      </w:r>
      <w:r w:rsidRPr="004B018C">
        <w:rPr>
          <w:i/>
          <w:iCs/>
        </w:rPr>
        <w:t xml:space="preserve">mpact of </w:t>
      </w:r>
      <w:r w:rsidR="0095156F">
        <w:rPr>
          <w:i/>
          <w:iCs/>
        </w:rPr>
        <w:t>R</w:t>
      </w:r>
      <w:r w:rsidRPr="004B018C">
        <w:rPr>
          <w:i/>
          <w:iCs/>
        </w:rPr>
        <w:t xml:space="preserve">esearch </w:t>
      </w:r>
      <w:r w:rsidR="0095156F">
        <w:rPr>
          <w:i/>
          <w:iCs/>
        </w:rPr>
        <w:t>D</w:t>
      </w:r>
      <w:r w:rsidRPr="004B018C">
        <w:rPr>
          <w:i/>
          <w:iCs/>
        </w:rPr>
        <w:t xml:space="preserve">ata with </w:t>
      </w:r>
      <w:r w:rsidR="0095156F">
        <w:rPr>
          <w:i/>
          <w:iCs/>
        </w:rPr>
        <w:t>M</w:t>
      </w:r>
      <w:r w:rsidRPr="004B018C">
        <w:rPr>
          <w:i/>
          <w:iCs/>
        </w:rPr>
        <w:t xml:space="preserve">etrics. </w:t>
      </w:r>
      <w:r w:rsidRPr="004B018C">
        <w:t>Edinburgh: Digital Curation Centre.</w:t>
      </w:r>
      <w:r w:rsidR="00F7682C">
        <w:t xml:space="preserve"> </w:t>
      </w:r>
      <w:r w:rsidR="00F7682C" w:rsidRPr="004B018C">
        <w:t>Accessed: 24th March 2017</w:t>
      </w:r>
      <w:r w:rsidR="00F7682C">
        <w:t>.</w:t>
      </w:r>
      <w:r w:rsidRPr="004B018C">
        <w:t xml:space="preserve"> </w:t>
      </w:r>
      <w:hyperlink r:id="rId10" w:tgtFrame="_blank" w:history="1">
        <w:r w:rsidRPr="004B018C">
          <w:rPr>
            <w:rStyle w:val="Hyperlink"/>
            <w:rFonts w:ascii="Verdana" w:hAnsi="Verdana"/>
            <w:sz w:val="18"/>
            <w:szCs w:val="18"/>
          </w:rPr>
          <w:t>http://www.dcc.ac.uk/resources/how-guides/track-data-impact-metrics</w:t>
        </w:r>
      </w:hyperlink>
      <w:r w:rsidRPr="004B018C">
        <w:t xml:space="preserve"> </w:t>
      </w:r>
    </w:p>
    <w:p w14:paraId="61A63620" w14:textId="68A67067" w:rsidR="00561D39" w:rsidRDefault="00561D39" w:rsidP="00466E1F">
      <w:pPr>
        <w:pStyle w:val="References"/>
      </w:pPr>
      <w:r w:rsidRPr="004B018C">
        <w:t xml:space="preserve">Beacham, B., Hale, M., Lowcay, B., McIntyre, E. and and Kalucy, L. (2003) </w:t>
      </w:r>
      <w:r w:rsidRPr="004B018C">
        <w:rPr>
          <w:i/>
          <w:iCs/>
        </w:rPr>
        <w:t xml:space="preserve">Australian </w:t>
      </w:r>
      <w:r w:rsidR="0095156F">
        <w:rPr>
          <w:i/>
          <w:iCs/>
        </w:rPr>
        <w:t>G</w:t>
      </w:r>
      <w:r w:rsidRPr="004B018C">
        <w:rPr>
          <w:i/>
          <w:iCs/>
        </w:rPr>
        <w:t xml:space="preserve">eneral </w:t>
      </w:r>
      <w:r w:rsidR="0095156F">
        <w:rPr>
          <w:i/>
          <w:iCs/>
        </w:rPr>
        <w:t>P</w:t>
      </w:r>
      <w:r w:rsidRPr="004B018C">
        <w:rPr>
          <w:i/>
          <w:iCs/>
        </w:rPr>
        <w:t xml:space="preserve">ractice </w:t>
      </w:r>
      <w:r w:rsidR="0095156F">
        <w:rPr>
          <w:i/>
          <w:iCs/>
        </w:rPr>
        <w:t>R</w:t>
      </w:r>
      <w:r w:rsidRPr="004B018C">
        <w:rPr>
          <w:i/>
          <w:iCs/>
        </w:rPr>
        <w:t xml:space="preserve">esearch: </w:t>
      </w:r>
      <w:r w:rsidR="0095156F">
        <w:rPr>
          <w:i/>
          <w:iCs/>
        </w:rPr>
        <w:t>I</w:t>
      </w:r>
      <w:r w:rsidRPr="004B018C">
        <w:rPr>
          <w:i/>
          <w:iCs/>
        </w:rPr>
        <w:t xml:space="preserve">nvestigators' </w:t>
      </w:r>
      <w:r w:rsidR="0095156F">
        <w:rPr>
          <w:i/>
          <w:iCs/>
        </w:rPr>
        <w:t>E</w:t>
      </w:r>
      <w:r w:rsidRPr="004B018C">
        <w:rPr>
          <w:i/>
          <w:iCs/>
        </w:rPr>
        <w:t xml:space="preserve">xperiences of </w:t>
      </w:r>
      <w:r w:rsidR="0095156F">
        <w:rPr>
          <w:i/>
          <w:iCs/>
        </w:rPr>
        <w:t>D</w:t>
      </w:r>
      <w:r w:rsidRPr="004B018C">
        <w:rPr>
          <w:i/>
          <w:iCs/>
        </w:rPr>
        <w:t xml:space="preserve">iffusion, </w:t>
      </w:r>
      <w:r w:rsidR="0095156F">
        <w:rPr>
          <w:i/>
          <w:iCs/>
        </w:rPr>
        <w:t>D</w:t>
      </w:r>
      <w:r w:rsidRPr="004B018C">
        <w:rPr>
          <w:i/>
          <w:iCs/>
        </w:rPr>
        <w:t xml:space="preserve">issemination and </w:t>
      </w:r>
      <w:r w:rsidR="0095156F">
        <w:rPr>
          <w:i/>
          <w:iCs/>
        </w:rPr>
        <w:t>I</w:t>
      </w:r>
      <w:r w:rsidRPr="004B018C">
        <w:rPr>
          <w:i/>
          <w:iCs/>
        </w:rPr>
        <w:t xml:space="preserve">mplementation of </w:t>
      </w:r>
      <w:r w:rsidR="0095156F">
        <w:rPr>
          <w:i/>
          <w:iCs/>
        </w:rPr>
        <w:t>R</w:t>
      </w:r>
      <w:r w:rsidRPr="004B018C">
        <w:rPr>
          <w:i/>
          <w:iCs/>
        </w:rPr>
        <w:t xml:space="preserve">esearch </w:t>
      </w:r>
      <w:r w:rsidR="0095156F">
        <w:rPr>
          <w:i/>
          <w:iCs/>
        </w:rPr>
        <w:t>R</w:t>
      </w:r>
      <w:r w:rsidRPr="004B018C">
        <w:rPr>
          <w:i/>
          <w:iCs/>
        </w:rPr>
        <w:t xml:space="preserve">esults. </w:t>
      </w:r>
      <w:r w:rsidRPr="004B018C">
        <w:t>Flinders University, Australia: PHCRIS.</w:t>
      </w:r>
    </w:p>
    <w:p w14:paraId="457C8F36" w14:textId="51DDE7BA" w:rsidR="00A17BA1" w:rsidRDefault="00CC435D" w:rsidP="00466E1F">
      <w:pPr>
        <w:pStyle w:val="References"/>
      </w:pPr>
      <w:r>
        <w:t xml:space="preserve">BERA–RSA (2014) </w:t>
      </w:r>
      <w:r w:rsidRPr="00CC435D">
        <w:rPr>
          <w:i/>
        </w:rPr>
        <w:t xml:space="preserve">Research and the </w:t>
      </w:r>
      <w:r w:rsidR="0095156F">
        <w:rPr>
          <w:i/>
        </w:rPr>
        <w:t>T</w:t>
      </w:r>
      <w:r w:rsidRPr="00CC435D">
        <w:rPr>
          <w:i/>
        </w:rPr>
        <w:t xml:space="preserve">eaching </w:t>
      </w:r>
      <w:r w:rsidR="0095156F">
        <w:rPr>
          <w:i/>
        </w:rPr>
        <w:t>P</w:t>
      </w:r>
      <w:r w:rsidRPr="00CC435D">
        <w:rPr>
          <w:i/>
        </w:rPr>
        <w:t xml:space="preserve">rofession: </w:t>
      </w:r>
      <w:r w:rsidR="0095156F">
        <w:rPr>
          <w:i/>
        </w:rPr>
        <w:t>B</w:t>
      </w:r>
      <w:r w:rsidRPr="00CC435D">
        <w:rPr>
          <w:i/>
        </w:rPr>
        <w:t xml:space="preserve">uilding the </w:t>
      </w:r>
      <w:r w:rsidR="0095156F">
        <w:rPr>
          <w:i/>
        </w:rPr>
        <w:t>C</w:t>
      </w:r>
      <w:r w:rsidRPr="00CC435D">
        <w:rPr>
          <w:i/>
        </w:rPr>
        <w:t xml:space="preserve">apacity for a </w:t>
      </w:r>
      <w:r w:rsidR="0095156F">
        <w:rPr>
          <w:i/>
        </w:rPr>
        <w:t>S</w:t>
      </w:r>
      <w:r w:rsidRPr="00CC435D">
        <w:rPr>
          <w:i/>
        </w:rPr>
        <w:t>elf-</w:t>
      </w:r>
      <w:r w:rsidR="0095156F">
        <w:rPr>
          <w:i/>
        </w:rPr>
        <w:t>I</w:t>
      </w:r>
      <w:r w:rsidRPr="00CC435D">
        <w:rPr>
          <w:i/>
        </w:rPr>
        <w:t xml:space="preserve">mproving </w:t>
      </w:r>
      <w:r w:rsidR="0095156F">
        <w:rPr>
          <w:i/>
        </w:rPr>
        <w:t>E</w:t>
      </w:r>
      <w:r w:rsidRPr="00CC435D">
        <w:rPr>
          <w:i/>
        </w:rPr>
        <w:t xml:space="preserve">ducation </w:t>
      </w:r>
      <w:r w:rsidR="0095156F">
        <w:rPr>
          <w:i/>
        </w:rPr>
        <w:t>S</w:t>
      </w:r>
      <w:r w:rsidRPr="00CC435D">
        <w:rPr>
          <w:i/>
        </w:rPr>
        <w:t>ystem</w:t>
      </w:r>
      <w:r>
        <w:t xml:space="preserve">. BERA: London. </w:t>
      </w:r>
    </w:p>
    <w:p w14:paraId="2D4F34EB" w14:textId="5214DB7D" w:rsidR="00D84160" w:rsidRPr="004B018C" w:rsidRDefault="00D84160" w:rsidP="00466E1F">
      <w:pPr>
        <w:pStyle w:val="References"/>
      </w:pPr>
      <w:r>
        <w:t xml:space="preserve">Brindley, J.; Blaschke, L.; and Walti, C. (2009) </w:t>
      </w:r>
      <w:r w:rsidRPr="00D84160">
        <w:t xml:space="preserve">Creating </w:t>
      </w:r>
      <w:r w:rsidR="0095156F">
        <w:t>E</w:t>
      </w:r>
      <w:r w:rsidRPr="00D84160">
        <w:t xml:space="preserve">ffective </w:t>
      </w:r>
      <w:r w:rsidR="0095156F">
        <w:t>C</w:t>
      </w:r>
      <w:r w:rsidRPr="00D84160">
        <w:t xml:space="preserve">ollaborative </w:t>
      </w:r>
      <w:r w:rsidR="0095156F">
        <w:t>L</w:t>
      </w:r>
      <w:r w:rsidRPr="00D84160">
        <w:t xml:space="preserve">earning </w:t>
      </w:r>
      <w:r w:rsidR="0095156F">
        <w:t>Gr</w:t>
      </w:r>
      <w:r w:rsidRPr="00D84160">
        <w:t xml:space="preserve">oups in an </w:t>
      </w:r>
      <w:r w:rsidR="0095156F">
        <w:t>O</w:t>
      </w:r>
      <w:r w:rsidRPr="00D84160">
        <w:t xml:space="preserve">nline </w:t>
      </w:r>
      <w:r w:rsidR="0095156F">
        <w:t>E</w:t>
      </w:r>
      <w:r w:rsidRPr="00D84160">
        <w:t>nvironment</w:t>
      </w:r>
      <w:r>
        <w:t xml:space="preserve">, </w:t>
      </w:r>
      <w:r w:rsidRPr="00D84160">
        <w:rPr>
          <w:i/>
        </w:rPr>
        <w:t>International Review of Research in Open and Distributed Learning</w:t>
      </w:r>
      <w:r>
        <w:t>, 10 (3).</w:t>
      </w:r>
    </w:p>
    <w:p w14:paraId="18E056F2" w14:textId="5C19E980" w:rsidR="00561D39" w:rsidRPr="004B018C" w:rsidRDefault="00561D39" w:rsidP="00466E1F">
      <w:pPr>
        <w:pStyle w:val="References"/>
      </w:pPr>
      <w:r w:rsidRPr="004B018C">
        <w:t xml:space="preserve">Cooper, A. (2014) 'The </w:t>
      </w:r>
      <w:r w:rsidR="0095156F">
        <w:t>U</w:t>
      </w:r>
      <w:r w:rsidRPr="004B018C">
        <w:t xml:space="preserve">ses of </w:t>
      </w:r>
      <w:r w:rsidR="0095156F">
        <w:t>O</w:t>
      </w:r>
      <w:r w:rsidRPr="004B018C">
        <w:t xml:space="preserve">nline </w:t>
      </w:r>
      <w:r w:rsidR="0095156F">
        <w:t>S</w:t>
      </w:r>
      <w:r w:rsidRPr="004B018C">
        <w:t xml:space="preserve">trategies and </w:t>
      </w:r>
      <w:r w:rsidR="0095156F">
        <w:t>S</w:t>
      </w:r>
      <w:r w:rsidRPr="004B018C">
        <w:t xml:space="preserve">ocial </w:t>
      </w:r>
      <w:r w:rsidR="0095156F">
        <w:t>M</w:t>
      </w:r>
      <w:r w:rsidRPr="004B018C">
        <w:t xml:space="preserve">edia for </w:t>
      </w:r>
      <w:r w:rsidR="0095156F">
        <w:t>R</w:t>
      </w:r>
      <w:r w:rsidRPr="004B018C">
        <w:t xml:space="preserve">esearch </w:t>
      </w:r>
      <w:r w:rsidR="0095156F">
        <w:t>D</w:t>
      </w:r>
      <w:r w:rsidRPr="004B018C">
        <w:t xml:space="preserve">issemination in </w:t>
      </w:r>
      <w:r w:rsidR="0095156F">
        <w:t>E</w:t>
      </w:r>
      <w:r w:rsidRPr="004B018C">
        <w:t xml:space="preserve">ducation', </w:t>
      </w:r>
      <w:r w:rsidRPr="004B018C">
        <w:rPr>
          <w:i/>
          <w:iCs/>
        </w:rPr>
        <w:t xml:space="preserve">Education Policy Analysis Archives, </w:t>
      </w:r>
      <w:r w:rsidRPr="004B018C">
        <w:t xml:space="preserve">22(88). doi: </w:t>
      </w:r>
      <w:hyperlink r:id="rId11" w:tgtFrame="_blank" w:history="1">
        <w:r w:rsidRPr="004B018C">
          <w:rPr>
            <w:rStyle w:val="Hyperlink"/>
            <w:rFonts w:ascii="Verdana" w:hAnsi="Verdana"/>
            <w:sz w:val="18"/>
            <w:szCs w:val="18"/>
          </w:rPr>
          <w:t>http://dx.doi.org/10.14507/epaa.v22n88.2014</w:t>
        </w:r>
      </w:hyperlink>
      <w:r w:rsidRPr="004B018C">
        <w:t xml:space="preserve">. </w:t>
      </w:r>
    </w:p>
    <w:p w14:paraId="2A5AF3C3" w14:textId="5C50B369" w:rsidR="0010074C" w:rsidRDefault="0010074C" w:rsidP="00466E1F">
      <w:pPr>
        <w:pStyle w:val="References"/>
      </w:pPr>
      <w:r w:rsidRPr="004B018C">
        <w:t xml:space="preserve">Creemers, B.P. (1986) 'Relationships </w:t>
      </w:r>
      <w:r w:rsidR="0095156F">
        <w:t>B</w:t>
      </w:r>
      <w:r w:rsidRPr="004B018C">
        <w:t xml:space="preserve">etween </w:t>
      </w:r>
      <w:r w:rsidR="0095156F">
        <w:t>R</w:t>
      </w:r>
      <w:r w:rsidRPr="004B018C">
        <w:t xml:space="preserve">esearch on </w:t>
      </w:r>
      <w:r w:rsidR="0095156F">
        <w:t>T</w:t>
      </w:r>
      <w:r w:rsidRPr="004B018C">
        <w:t xml:space="preserve">eaching, </w:t>
      </w:r>
      <w:r w:rsidR="0095156F">
        <w:t>E</w:t>
      </w:r>
      <w:r w:rsidRPr="004B018C">
        <w:t xml:space="preserve">ducational </w:t>
      </w:r>
      <w:r w:rsidR="0095156F">
        <w:t>I</w:t>
      </w:r>
      <w:r w:rsidRPr="004B018C">
        <w:t xml:space="preserve">nnovation and </w:t>
      </w:r>
      <w:r w:rsidR="0095156F">
        <w:t>T</w:t>
      </w:r>
      <w:r w:rsidRPr="004B018C">
        <w:t xml:space="preserve">eaching: the </w:t>
      </w:r>
      <w:r w:rsidR="0095156F">
        <w:t>C</w:t>
      </w:r>
      <w:r w:rsidRPr="004B018C">
        <w:t xml:space="preserve">ase of the Netherlands.', </w:t>
      </w:r>
      <w:r w:rsidRPr="004B018C">
        <w:rPr>
          <w:i/>
          <w:iCs/>
        </w:rPr>
        <w:t xml:space="preserve">Teaching and Teacher Education, </w:t>
      </w:r>
      <w:r w:rsidRPr="004B018C">
        <w:t xml:space="preserve">2(2), 105-113. </w:t>
      </w:r>
    </w:p>
    <w:p w14:paraId="72A73E31" w14:textId="4A043993" w:rsidR="007D3415" w:rsidRPr="004B018C" w:rsidRDefault="00EC1704" w:rsidP="00754ABF">
      <w:pPr>
        <w:pStyle w:val="References"/>
      </w:pPr>
      <w:r w:rsidRPr="001E0D4A">
        <w:t>Davies, D.J., Earle, S., McMahon, K., Howe, A. and and Collier, C. (2017) 'Development and exemplification of a model for Teacher Assessment in Primary Science', </w:t>
      </w:r>
      <w:r w:rsidRPr="001E0D4A">
        <w:rPr>
          <w:i/>
        </w:rPr>
        <w:t>International Journal of Science Education, </w:t>
      </w:r>
      <w:r w:rsidRPr="001E0D4A">
        <w:t>40(1), pp. 1-22.</w:t>
      </w:r>
    </w:p>
    <w:p w14:paraId="30858F38" w14:textId="104784C4" w:rsidR="00561D39" w:rsidRDefault="00561D39" w:rsidP="00466E1F">
      <w:pPr>
        <w:pStyle w:val="References"/>
      </w:pPr>
      <w:r w:rsidRPr="004B018C">
        <w:t xml:space="preserve">Dede, C. (1996) 'Emerging </w:t>
      </w:r>
      <w:r w:rsidR="0095156F">
        <w:t>T</w:t>
      </w:r>
      <w:r w:rsidRPr="004B018C">
        <w:t xml:space="preserve">echnologies in </w:t>
      </w:r>
      <w:r w:rsidR="0095156F">
        <w:t>D</w:t>
      </w:r>
      <w:r w:rsidRPr="004B018C">
        <w:t xml:space="preserve">istance </w:t>
      </w:r>
      <w:r w:rsidR="0095156F">
        <w:t>E</w:t>
      </w:r>
      <w:r w:rsidRPr="004B018C">
        <w:t xml:space="preserve">ducation for </w:t>
      </w:r>
      <w:r w:rsidR="0095156F">
        <w:t>B</w:t>
      </w:r>
      <w:r w:rsidRPr="004B018C">
        <w:t xml:space="preserve">usiness', </w:t>
      </w:r>
      <w:r w:rsidRPr="004B018C">
        <w:rPr>
          <w:i/>
          <w:iCs/>
        </w:rPr>
        <w:t xml:space="preserve">Journal of Education for Business, </w:t>
      </w:r>
      <w:r w:rsidRPr="004B018C">
        <w:t xml:space="preserve">71(4), 197-204. </w:t>
      </w:r>
    </w:p>
    <w:p w14:paraId="482EF8F6" w14:textId="77777777" w:rsidR="00CD75ED" w:rsidRPr="001E0D4A" w:rsidRDefault="00CD75ED" w:rsidP="001E0D4A">
      <w:pPr>
        <w:pStyle w:val="References"/>
      </w:pPr>
      <w:r w:rsidRPr="001E0D4A">
        <w:lastRenderedPageBreak/>
        <w:t>Earle, S., Davies, D., Collier, C., Howe, A. and and McMahon, K. (2016) </w:t>
      </w:r>
      <w:r w:rsidRPr="001E0D4A">
        <w:rPr>
          <w:i/>
        </w:rPr>
        <w:t>Approaches to science assessment in English primary schools</w:t>
      </w:r>
      <w:r w:rsidRPr="001E0D4A">
        <w:t xml:space="preserve">. Primary Science Teaching Trust. </w:t>
      </w:r>
    </w:p>
    <w:p w14:paraId="22BD0329" w14:textId="21956B2A" w:rsidR="00CD75ED" w:rsidRDefault="00754ABF" w:rsidP="00754ABF">
      <w:pPr>
        <w:pStyle w:val="References"/>
      </w:pPr>
      <w:r w:rsidRPr="00754ABF">
        <w:t>Edelstein, H., Shah, S. and and Levin, B. (2012) 'Mining for data: emprical data from the Use of Online Research project', </w:t>
      </w:r>
      <w:r w:rsidRPr="00754ABF">
        <w:rPr>
          <w:i/>
        </w:rPr>
        <w:t>International Journal of Humanities and Social Science</w:t>
      </w:r>
      <w:r w:rsidRPr="00754ABF">
        <w:t>, 2(9), pp. 1-12.</w:t>
      </w:r>
    </w:p>
    <w:p w14:paraId="684D5DAD" w14:textId="7C3CF808" w:rsidR="000923D1" w:rsidRPr="004B018C" w:rsidRDefault="000923D1" w:rsidP="00754ABF">
      <w:pPr>
        <w:pStyle w:val="References"/>
      </w:pPr>
      <w:r w:rsidRPr="001E0D4A">
        <w:t>EU Horizon 2020 (2014) </w:t>
      </w:r>
      <w:r w:rsidRPr="001E0D4A">
        <w:rPr>
          <w:i/>
        </w:rPr>
        <w:t>Communicating EU research and innovation guidance for project participants. </w:t>
      </w:r>
      <w:r w:rsidRPr="001E0D4A">
        <w:t>Brussels: European Commission. Available at: </w:t>
      </w:r>
      <w:hyperlink r:id="rId12" w:tgtFrame="_blank" w:history="1">
        <w:r w:rsidRPr="001E0D4A">
          <w:t>http://ec.europa.eu/research/participants/data/ref/h2020/other/gm/h2020-guide-comm_en.pdf</w:t>
        </w:r>
      </w:hyperlink>
      <w:r w:rsidRPr="001E0D4A">
        <w:t> (Accessed: 18th March 2017).</w:t>
      </w:r>
    </w:p>
    <w:p w14:paraId="208976AA" w14:textId="1C9875E3" w:rsidR="00561D39" w:rsidRPr="004B018C" w:rsidRDefault="00561D39" w:rsidP="00466E1F">
      <w:pPr>
        <w:pStyle w:val="References"/>
      </w:pPr>
      <w:r w:rsidRPr="004B018C">
        <w:t xml:space="preserve">Gannaway, D., Hinton, T., Berry, B. and Moore, K. (2013) 'Cultivating </w:t>
      </w:r>
      <w:r w:rsidR="0095156F">
        <w:t>C</w:t>
      </w:r>
      <w:r w:rsidRPr="004B018C">
        <w:t xml:space="preserve">hange: </w:t>
      </w:r>
      <w:r w:rsidR="0095156F">
        <w:t>D</w:t>
      </w:r>
      <w:r w:rsidRPr="004B018C">
        <w:t xml:space="preserve">isseminating </w:t>
      </w:r>
      <w:r w:rsidR="0095156F">
        <w:t>I</w:t>
      </w:r>
      <w:r w:rsidRPr="004B018C">
        <w:t xml:space="preserve">nnovation in </w:t>
      </w:r>
      <w:r w:rsidR="0095156F">
        <w:t>H</w:t>
      </w:r>
      <w:r w:rsidRPr="004B018C">
        <w:t xml:space="preserve">igher </w:t>
      </w:r>
      <w:r w:rsidR="0095156F">
        <w:t>E</w:t>
      </w:r>
      <w:r w:rsidRPr="004B018C">
        <w:t xml:space="preserve">ducation </w:t>
      </w:r>
      <w:r w:rsidR="0095156F">
        <w:t>T</w:t>
      </w:r>
      <w:r w:rsidRPr="004B018C">
        <w:t xml:space="preserve">eaching and </w:t>
      </w:r>
      <w:r w:rsidR="0095156F">
        <w:t>L</w:t>
      </w:r>
      <w:r w:rsidRPr="004B018C">
        <w:t xml:space="preserve">earning', </w:t>
      </w:r>
      <w:r w:rsidRPr="004B018C">
        <w:rPr>
          <w:i/>
          <w:iCs/>
        </w:rPr>
        <w:t xml:space="preserve">Innovations in Education &amp; Teaching International, </w:t>
      </w:r>
      <w:r w:rsidRPr="004B018C">
        <w:t xml:space="preserve">50(4), 410-421. doi: 10.1080/14703297.2013.839334. </w:t>
      </w:r>
    </w:p>
    <w:p w14:paraId="549A1D97" w14:textId="18B084B9" w:rsidR="00561D39" w:rsidRDefault="00561D39" w:rsidP="00466E1F">
      <w:pPr>
        <w:pStyle w:val="References"/>
      </w:pPr>
      <w:r w:rsidRPr="004B018C">
        <w:t xml:space="preserve">Gassenheimer, C. (2013) 'Best </w:t>
      </w:r>
      <w:r w:rsidR="0095156F">
        <w:t>P</w:t>
      </w:r>
      <w:r w:rsidRPr="004B018C">
        <w:t xml:space="preserve">ractice for </w:t>
      </w:r>
      <w:r w:rsidR="0095156F">
        <w:t>S</w:t>
      </w:r>
      <w:r w:rsidRPr="004B018C">
        <w:t xml:space="preserve">preading </w:t>
      </w:r>
      <w:r w:rsidR="0095156F">
        <w:t>I</w:t>
      </w:r>
      <w:r w:rsidRPr="004B018C">
        <w:t xml:space="preserve">nnovation: </w:t>
      </w:r>
      <w:r w:rsidR="0095156F">
        <w:t>L</w:t>
      </w:r>
      <w:r w:rsidRPr="004B018C">
        <w:t xml:space="preserve">et the </w:t>
      </w:r>
      <w:r w:rsidR="0095156F">
        <w:t>P</w:t>
      </w:r>
      <w:r w:rsidRPr="004B018C">
        <w:t xml:space="preserve">ractitioners </w:t>
      </w:r>
      <w:r w:rsidR="0095156F">
        <w:t>D</w:t>
      </w:r>
      <w:r w:rsidRPr="004B018C">
        <w:t xml:space="preserve">o </w:t>
      </w:r>
      <w:r w:rsidR="0095156F">
        <w:t>I</w:t>
      </w:r>
      <w:r w:rsidRPr="004B018C">
        <w:t xml:space="preserve">t', </w:t>
      </w:r>
      <w:r w:rsidRPr="004B018C">
        <w:rPr>
          <w:i/>
          <w:iCs/>
        </w:rPr>
        <w:t xml:space="preserve">Kappan Magazine, </w:t>
      </w:r>
      <w:r w:rsidRPr="004B018C">
        <w:t>95(3)</w:t>
      </w:r>
      <w:r w:rsidR="002F1955">
        <w:t>, 39-43.</w:t>
      </w:r>
    </w:p>
    <w:p w14:paraId="57F069F7" w14:textId="64028A85" w:rsidR="003C4CC4" w:rsidRPr="004B018C" w:rsidRDefault="002865F6" w:rsidP="00466E1F">
      <w:pPr>
        <w:pStyle w:val="References"/>
      </w:pPr>
      <w:r>
        <w:t xml:space="preserve">Gravestock, P. (2002) Making an </w:t>
      </w:r>
      <w:r w:rsidR="0095156F">
        <w:t>I</w:t>
      </w:r>
      <w:r>
        <w:t xml:space="preserve">mpact </w:t>
      </w:r>
      <w:r w:rsidR="0095156F">
        <w:t>T</w:t>
      </w:r>
      <w:r>
        <w:t xml:space="preserve">hrough </w:t>
      </w:r>
      <w:r w:rsidR="0095156F">
        <w:t>D</w:t>
      </w:r>
      <w:r>
        <w:t xml:space="preserve">issemination, in </w:t>
      </w:r>
      <w:r w:rsidR="00003E7B">
        <w:t>Baume, C.; Martin, P.; and Yorke, M. (eds)</w:t>
      </w:r>
      <w:r w:rsidR="00003E7B" w:rsidRPr="002865F6">
        <w:rPr>
          <w:i/>
        </w:rPr>
        <w:t xml:space="preserve"> </w:t>
      </w:r>
      <w:r w:rsidRPr="002865F6">
        <w:rPr>
          <w:i/>
        </w:rPr>
        <w:t>Managing Educational Development Projects: Maximizing the Impact</w:t>
      </w:r>
      <w:r>
        <w:t>,</w:t>
      </w:r>
      <w:r w:rsidR="00003E7B">
        <w:t xml:space="preserve"> Kogan Page: London,</w:t>
      </w:r>
      <w:r>
        <w:t xml:space="preserve"> 109-123. </w:t>
      </w:r>
    </w:p>
    <w:p w14:paraId="55C1544C" w14:textId="7A39FCF1" w:rsidR="00C90E29" w:rsidRPr="004B018C" w:rsidRDefault="00183FA5" w:rsidP="00466E1F">
      <w:pPr>
        <w:pStyle w:val="References"/>
      </w:pPr>
      <w:r w:rsidRPr="006A0D9B">
        <w:t>Hattie</w:t>
      </w:r>
      <w:r>
        <w:t xml:space="preserve">, J. (2011) </w:t>
      </w:r>
      <w:r w:rsidRPr="006A0D9B">
        <w:rPr>
          <w:i/>
        </w:rPr>
        <w:t>Visible</w:t>
      </w:r>
      <w:r w:rsidR="006A0D9B" w:rsidRPr="006A0D9B">
        <w:rPr>
          <w:i/>
        </w:rPr>
        <w:t xml:space="preserve"> </w:t>
      </w:r>
      <w:r w:rsidR="003477FC">
        <w:rPr>
          <w:i/>
        </w:rPr>
        <w:t>L</w:t>
      </w:r>
      <w:r w:rsidR="006A0D9B" w:rsidRPr="006A0D9B">
        <w:rPr>
          <w:i/>
        </w:rPr>
        <w:t xml:space="preserve">earning for </w:t>
      </w:r>
      <w:r w:rsidR="003477FC">
        <w:rPr>
          <w:i/>
        </w:rPr>
        <w:t>T</w:t>
      </w:r>
      <w:r w:rsidR="006A0D9B" w:rsidRPr="006A0D9B">
        <w:rPr>
          <w:i/>
        </w:rPr>
        <w:t xml:space="preserve">eachers: </w:t>
      </w:r>
      <w:r w:rsidR="003477FC">
        <w:rPr>
          <w:i/>
        </w:rPr>
        <w:t>M</w:t>
      </w:r>
      <w:r w:rsidR="006A0D9B" w:rsidRPr="006A0D9B">
        <w:rPr>
          <w:i/>
        </w:rPr>
        <w:t xml:space="preserve">aximizing </w:t>
      </w:r>
      <w:r w:rsidR="003477FC">
        <w:rPr>
          <w:i/>
        </w:rPr>
        <w:t>I</w:t>
      </w:r>
      <w:r w:rsidR="006A0D9B" w:rsidRPr="006A0D9B">
        <w:rPr>
          <w:i/>
        </w:rPr>
        <w:t xml:space="preserve">mpact </w:t>
      </w:r>
      <w:r w:rsidR="003477FC">
        <w:rPr>
          <w:i/>
        </w:rPr>
        <w:t>U</w:t>
      </w:r>
      <w:r w:rsidR="006A0D9B" w:rsidRPr="006A0D9B">
        <w:rPr>
          <w:i/>
        </w:rPr>
        <w:t xml:space="preserve">pon </w:t>
      </w:r>
      <w:r w:rsidR="003477FC">
        <w:rPr>
          <w:i/>
        </w:rPr>
        <w:t>L</w:t>
      </w:r>
      <w:r w:rsidR="006A0D9B" w:rsidRPr="006A0D9B">
        <w:rPr>
          <w:i/>
        </w:rPr>
        <w:t>earning</w:t>
      </w:r>
      <w:r w:rsidR="006A0D9B">
        <w:t>, London: Routledge.</w:t>
      </w:r>
    </w:p>
    <w:p w14:paraId="53732DCE" w14:textId="3D399D8E" w:rsidR="000A7E54" w:rsidRDefault="000A7E54" w:rsidP="002509C7">
      <w:pPr>
        <w:pStyle w:val="References"/>
      </w:pPr>
      <w:r w:rsidRPr="001E0D4A">
        <w:t xml:space="preserve">Hopwood-Stephens, I. (2018a) </w:t>
      </w:r>
      <w:r w:rsidRPr="001E0D4A">
        <w:rPr>
          <w:i/>
        </w:rPr>
        <w:t xml:space="preserve">The TAPS pyramid: where, who and how? </w:t>
      </w:r>
      <w:r w:rsidRPr="001E0D4A">
        <w:t xml:space="preserve">Primary Science, March edition Special Issue.  </w:t>
      </w:r>
    </w:p>
    <w:p w14:paraId="640B1BA3" w14:textId="67154157" w:rsidR="00561D39" w:rsidRPr="004B018C" w:rsidRDefault="00561D39" w:rsidP="00466E1F">
      <w:pPr>
        <w:pStyle w:val="References"/>
      </w:pPr>
      <w:r w:rsidRPr="004B018C">
        <w:t xml:space="preserve">Hutchinson, J. and and Huberman, M. (1994) 'Knowledge </w:t>
      </w:r>
      <w:r w:rsidR="003477FC">
        <w:t>D</w:t>
      </w:r>
      <w:r w:rsidRPr="004B018C">
        <w:t xml:space="preserve">issemination and </w:t>
      </w:r>
      <w:r w:rsidR="003477FC">
        <w:t>Use</w:t>
      </w:r>
      <w:r w:rsidRPr="004B018C">
        <w:t xml:space="preserve"> in </w:t>
      </w:r>
      <w:r w:rsidR="003477FC">
        <w:t>S</w:t>
      </w:r>
      <w:r w:rsidRPr="004B018C">
        <w:t xml:space="preserve">cience and </w:t>
      </w:r>
      <w:r w:rsidR="003477FC">
        <w:t>M</w:t>
      </w:r>
      <w:r w:rsidRPr="004B018C">
        <w:t xml:space="preserve">athematics </w:t>
      </w:r>
      <w:r w:rsidR="003477FC">
        <w:t>E</w:t>
      </w:r>
      <w:r w:rsidRPr="004B018C">
        <w:t xml:space="preserve">ducation: a </w:t>
      </w:r>
      <w:r w:rsidR="003477FC">
        <w:t>L</w:t>
      </w:r>
      <w:r w:rsidRPr="004B018C">
        <w:t xml:space="preserve">iterature </w:t>
      </w:r>
      <w:r w:rsidR="003477FC">
        <w:t>R</w:t>
      </w:r>
      <w:r w:rsidRPr="004B018C">
        <w:t xml:space="preserve">eview', </w:t>
      </w:r>
      <w:r w:rsidRPr="004B018C">
        <w:rPr>
          <w:i/>
          <w:iCs/>
        </w:rPr>
        <w:t xml:space="preserve">Journal of Science Education and Technology, </w:t>
      </w:r>
      <w:r w:rsidRPr="004B018C">
        <w:t xml:space="preserve">3(1), 27-47. </w:t>
      </w:r>
    </w:p>
    <w:p w14:paraId="62D8A95B" w14:textId="71EC6548" w:rsidR="00561D39" w:rsidRDefault="00561D39" w:rsidP="00466E1F">
      <w:pPr>
        <w:pStyle w:val="References"/>
      </w:pPr>
      <w:r w:rsidRPr="004B018C">
        <w:t xml:space="preserve">King, H. (2003) 'Disseminating </w:t>
      </w:r>
      <w:r w:rsidR="003477FC">
        <w:t>E</w:t>
      </w:r>
      <w:r w:rsidRPr="004B018C">
        <w:t xml:space="preserve">ducational </w:t>
      </w:r>
      <w:r w:rsidR="003477FC">
        <w:t>D</w:t>
      </w:r>
      <w:r w:rsidRPr="004B018C">
        <w:t xml:space="preserve">evelopments', in Kahn, P. and and Baume, D. (eds.) </w:t>
      </w:r>
      <w:r w:rsidRPr="004B018C">
        <w:rPr>
          <w:i/>
          <w:iCs/>
        </w:rPr>
        <w:t xml:space="preserve">A </w:t>
      </w:r>
      <w:r w:rsidR="002F1955">
        <w:rPr>
          <w:i/>
          <w:iCs/>
        </w:rPr>
        <w:t>G</w:t>
      </w:r>
      <w:r w:rsidRPr="004B018C">
        <w:rPr>
          <w:i/>
          <w:iCs/>
        </w:rPr>
        <w:t xml:space="preserve">uide to </w:t>
      </w:r>
      <w:r w:rsidR="002F1955">
        <w:rPr>
          <w:i/>
          <w:iCs/>
        </w:rPr>
        <w:t>S</w:t>
      </w:r>
      <w:r w:rsidRPr="004B018C">
        <w:rPr>
          <w:i/>
          <w:iCs/>
        </w:rPr>
        <w:t xml:space="preserve">taff and </w:t>
      </w:r>
      <w:r w:rsidR="002F1955">
        <w:rPr>
          <w:i/>
          <w:iCs/>
        </w:rPr>
        <w:t>E</w:t>
      </w:r>
      <w:r w:rsidRPr="004B018C">
        <w:rPr>
          <w:i/>
          <w:iCs/>
        </w:rPr>
        <w:t xml:space="preserve">ducational </w:t>
      </w:r>
      <w:r w:rsidR="002F1955">
        <w:rPr>
          <w:i/>
          <w:iCs/>
        </w:rPr>
        <w:t>D</w:t>
      </w:r>
      <w:r w:rsidRPr="004B018C">
        <w:rPr>
          <w:i/>
          <w:iCs/>
        </w:rPr>
        <w:t>evelopment</w:t>
      </w:r>
      <w:r w:rsidRPr="004B018C">
        <w:t xml:space="preserve"> London: Kogan Page, 96-115. </w:t>
      </w:r>
    </w:p>
    <w:p w14:paraId="14F6706C" w14:textId="4B16AE95" w:rsidR="00A03388" w:rsidRDefault="00A03388" w:rsidP="00EE15E6">
      <w:pPr>
        <w:pStyle w:val="References"/>
      </w:pPr>
      <w:bookmarkStart w:id="4" w:name="_Hlk1576622"/>
      <w:r w:rsidRPr="00A03388">
        <w:t xml:space="preserve">Kirst, M. (2000). "Bridging education research and education policymaking." </w:t>
      </w:r>
      <w:r w:rsidRPr="00A03388">
        <w:rPr>
          <w:i/>
        </w:rPr>
        <w:t xml:space="preserve">Oxford Review of Education </w:t>
      </w:r>
      <w:r w:rsidRPr="00A03388">
        <w:t>26(3/4): 379-391.</w:t>
      </w:r>
      <w:bookmarkEnd w:id="4"/>
    </w:p>
    <w:p w14:paraId="2CE5E87E" w14:textId="58817951" w:rsidR="00561D39" w:rsidRPr="00C36A55" w:rsidRDefault="00561D39" w:rsidP="00466E1F">
      <w:pPr>
        <w:pStyle w:val="References"/>
      </w:pPr>
      <w:r w:rsidRPr="00C36A55">
        <w:t xml:space="preserve">Klein and Gwaltney (1991) Charting the </w:t>
      </w:r>
      <w:r w:rsidR="003477FC">
        <w:t>E</w:t>
      </w:r>
      <w:r w:rsidRPr="00C36A55">
        <w:t xml:space="preserve">ducation </w:t>
      </w:r>
      <w:r w:rsidR="003477FC">
        <w:t>D</w:t>
      </w:r>
      <w:r w:rsidRPr="00C36A55">
        <w:t xml:space="preserve">issemination </w:t>
      </w:r>
      <w:r w:rsidR="003477FC">
        <w:t>S</w:t>
      </w:r>
      <w:r w:rsidRPr="00C36A55">
        <w:t xml:space="preserve">ystem: </w:t>
      </w:r>
      <w:r w:rsidR="003477FC">
        <w:t>W</w:t>
      </w:r>
      <w:r w:rsidRPr="00C36A55">
        <w:t xml:space="preserve">here we are and where we go from here. </w:t>
      </w:r>
      <w:r w:rsidRPr="00C36A55">
        <w:rPr>
          <w:i/>
        </w:rPr>
        <w:t>Creation, Diffusion, Utilization</w:t>
      </w:r>
      <w:r w:rsidRPr="00C36A55">
        <w:t>, 12 (3), 241-265</w:t>
      </w:r>
    </w:p>
    <w:p w14:paraId="0B14FAD9" w14:textId="5B8D6A7B" w:rsidR="00561D39" w:rsidRDefault="00561D39" w:rsidP="00466E1F">
      <w:pPr>
        <w:pStyle w:val="References"/>
      </w:pPr>
      <w:r w:rsidRPr="004B018C">
        <w:t xml:space="preserve">Korthagen, F. (2017) 'Inconvenient </w:t>
      </w:r>
      <w:r w:rsidR="002F1955">
        <w:t>T</w:t>
      </w:r>
      <w:r w:rsidRPr="004B018C">
        <w:t xml:space="preserve">ruths </w:t>
      </w:r>
      <w:r w:rsidR="002F1955">
        <w:t>A</w:t>
      </w:r>
      <w:r w:rsidRPr="004B018C">
        <w:t xml:space="preserve">bout </w:t>
      </w:r>
      <w:r w:rsidR="002F1955">
        <w:t>T</w:t>
      </w:r>
      <w:r w:rsidRPr="004B018C">
        <w:t xml:space="preserve">eacher </w:t>
      </w:r>
      <w:r w:rsidR="002F1955">
        <w:t>L</w:t>
      </w:r>
      <w:r w:rsidRPr="004B018C">
        <w:t xml:space="preserve">earning: </w:t>
      </w:r>
      <w:r w:rsidR="002F1955">
        <w:t>T</w:t>
      </w:r>
      <w:r w:rsidRPr="004B018C">
        <w:t xml:space="preserve">owards </w:t>
      </w:r>
      <w:r w:rsidR="002F1955">
        <w:t>P</w:t>
      </w:r>
      <w:r w:rsidRPr="004B018C">
        <w:t xml:space="preserve">rofessional </w:t>
      </w:r>
      <w:r w:rsidR="002F1955">
        <w:t>D</w:t>
      </w:r>
      <w:r w:rsidRPr="004B018C">
        <w:t xml:space="preserve">evelopment 3.0', </w:t>
      </w:r>
      <w:r w:rsidRPr="004B018C">
        <w:rPr>
          <w:i/>
          <w:iCs/>
        </w:rPr>
        <w:t xml:space="preserve">Teachers and Teaching: Theory and Practice, </w:t>
      </w:r>
      <w:r w:rsidRPr="004B018C">
        <w:t xml:space="preserve">23(4), 387-405. </w:t>
      </w:r>
    </w:p>
    <w:p w14:paraId="5B3ACB32" w14:textId="52A48EC8" w:rsidR="00A24C58" w:rsidRDefault="00A24C58" w:rsidP="00A24C58">
      <w:pPr>
        <w:pStyle w:val="References"/>
      </w:pPr>
      <w:r w:rsidRPr="00A24C58">
        <w:lastRenderedPageBreak/>
        <w:t xml:space="preserve">Lieutenancies Act (1997): </w:t>
      </w:r>
      <w:r w:rsidRPr="00A24C58">
        <w:rPr>
          <w:i/>
        </w:rPr>
        <w:t>Chapter 23, Schedule 1 of the Lieutenancies Act, 1997</w:t>
      </w:r>
      <w:r w:rsidRPr="00A24C58">
        <w:t>.(SI year and number).</w:t>
      </w:r>
      <w:r w:rsidR="00D87D95">
        <w:t xml:space="preserve"> Crown Copyright.</w:t>
      </w:r>
    </w:p>
    <w:p w14:paraId="3CACB4EE" w14:textId="7C629063" w:rsidR="00FB7441" w:rsidRPr="004B018C" w:rsidRDefault="00FB7441" w:rsidP="00466E1F">
      <w:pPr>
        <w:pStyle w:val="References"/>
      </w:pPr>
      <w:r w:rsidRPr="00F96655">
        <w:t>Louis,</w:t>
      </w:r>
      <w:r w:rsidR="00035628">
        <w:t xml:space="preserve"> K. (1980) </w:t>
      </w:r>
      <w:r w:rsidR="00F96655" w:rsidRPr="00F96655">
        <w:rPr>
          <w:i/>
        </w:rPr>
        <w:t xml:space="preserve">Linking R and D with </w:t>
      </w:r>
      <w:r w:rsidR="002F1955">
        <w:rPr>
          <w:i/>
        </w:rPr>
        <w:t>S</w:t>
      </w:r>
      <w:r w:rsidR="00F96655" w:rsidRPr="00F96655">
        <w:rPr>
          <w:i/>
        </w:rPr>
        <w:t xml:space="preserve">chools. Products and </w:t>
      </w:r>
      <w:r w:rsidR="002F1955">
        <w:rPr>
          <w:i/>
        </w:rPr>
        <w:t>P</w:t>
      </w:r>
      <w:r w:rsidR="00F96655" w:rsidRPr="00F96655">
        <w:rPr>
          <w:i/>
        </w:rPr>
        <w:t xml:space="preserve">rocess: some </w:t>
      </w:r>
      <w:r w:rsidR="002F1955">
        <w:rPr>
          <w:i/>
        </w:rPr>
        <w:t>P</w:t>
      </w:r>
      <w:r w:rsidR="00F96655" w:rsidRPr="00F96655">
        <w:rPr>
          <w:i/>
        </w:rPr>
        <w:t xml:space="preserve">reliminary </w:t>
      </w:r>
      <w:r w:rsidR="002F1955">
        <w:rPr>
          <w:i/>
        </w:rPr>
        <w:t>F</w:t>
      </w:r>
      <w:r w:rsidR="00F96655" w:rsidRPr="00F96655">
        <w:rPr>
          <w:i/>
        </w:rPr>
        <w:t xml:space="preserve">indings from the R and D </w:t>
      </w:r>
      <w:r w:rsidR="002F1955">
        <w:rPr>
          <w:i/>
        </w:rPr>
        <w:t>U</w:t>
      </w:r>
      <w:r w:rsidR="00F96655" w:rsidRPr="00F96655">
        <w:rPr>
          <w:i/>
        </w:rPr>
        <w:t xml:space="preserve">tilization </w:t>
      </w:r>
      <w:r w:rsidR="002F1955">
        <w:rPr>
          <w:i/>
        </w:rPr>
        <w:t>P</w:t>
      </w:r>
      <w:r w:rsidR="00F96655" w:rsidRPr="00F96655">
        <w:rPr>
          <w:i/>
        </w:rPr>
        <w:t xml:space="preserve">rogram. </w:t>
      </w:r>
      <w:r w:rsidR="00F96655">
        <w:t>National Institute of Education: Washington DC.</w:t>
      </w:r>
    </w:p>
    <w:p w14:paraId="4CEF4DF1" w14:textId="6B249554" w:rsidR="00C52C88" w:rsidRPr="004B018C" w:rsidRDefault="00C52C88" w:rsidP="00466E1F">
      <w:pPr>
        <w:pStyle w:val="References"/>
      </w:pPr>
      <w:r>
        <w:t xml:space="preserve">MacLellan, P. (2016) </w:t>
      </w:r>
      <w:r w:rsidRPr="00C52C88">
        <w:rPr>
          <w:i/>
        </w:rPr>
        <w:t xml:space="preserve">Why </w:t>
      </w:r>
      <w:r w:rsidR="002F1955">
        <w:rPr>
          <w:i/>
        </w:rPr>
        <w:t>D</w:t>
      </w:r>
      <w:r w:rsidRPr="00C52C88">
        <w:rPr>
          <w:i/>
        </w:rPr>
        <w:t xml:space="preserve">on’t </w:t>
      </w:r>
      <w:r w:rsidR="002F1955">
        <w:rPr>
          <w:i/>
        </w:rPr>
        <w:t>T</w:t>
      </w:r>
      <w:r w:rsidRPr="00C52C88">
        <w:rPr>
          <w:i/>
        </w:rPr>
        <w:t xml:space="preserve">eachers </w:t>
      </w:r>
      <w:r w:rsidR="002F1955">
        <w:rPr>
          <w:i/>
        </w:rPr>
        <w:t>U</w:t>
      </w:r>
      <w:r w:rsidRPr="00C52C88">
        <w:rPr>
          <w:i/>
        </w:rPr>
        <w:t xml:space="preserve">se </w:t>
      </w:r>
      <w:r w:rsidR="002F1955">
        <w:rPr>
          <w:i/>
        </w:rPr>
        <w:t>E</w:t>
      </w:r>
      <w:r w:rsidRPr="00C52C88">
        <w:rPr>
          <w:i/>
        </w:rPr>
        <w:t xml:space="preserve">ducation </w:t>
      </w:r>
      <w:r w:rsidR="002F1955">
        <w:rPr>
          <w:i/>
        </w:rPr>
        <w:t>R</w:t>
      </w:r>
      <w:r w:rsidRPr="00C52C88">
        <w:rPr>
          <w:i/>
        </w:rPr>
        <w:t xml:space="preserve">esearch in </w:t>
      </w:r>
      <w:r w:rsidR="002F1955">
        <w:rPr>
          <w:i/>
        </w:rPr>
        <w:t>T</w:t>
      </w:r>
      <w:r w:rsidRPr="00C52C88">
        <w:rPr>
          <w:i/>
        </w:rPr>
        <w:t>eaching?</w:t>
      </w:r>
      <w:r>
        <w:t xml:space="preserve"> Royal Society of Chemistry website. </w:t>
      </w:r>
      <w:r w:rsidR="00F7682C">
        <w:t>Accessed 3rd December 2016.</w:t>
      </w:r>
      <w:r>
        <w:t xml:space="preserve"> </w:t>
      </w:r>
      <w:hyperlink r:id="rId13" w:history="1">
        <w:r w:rsidRPr="00536057">
          <w:rPr>
            <w:rStyle w:val="Hyperlink"/>
            <w:rFonts w:ascii="Verdana" w:hAnsi="Verdana"/>
            <w:sz w:val="18"/>
            <w:szCs w:val="18"/>
          </w:rPr>
          <w:t>https://eic.rsc.org/analysis/why-dont-teachers-use-education-research-in-teaching/2010170.article</w:t>
        </w:r>
      </w:hyperlink>
      <w:r>
        <w:t xml:space="preserve"> </w:t>
      </w:r>
    </w:p>
    <w:p w14:paraId="138DFEB4" w14:textId="26ED488E" w:rsidR="00561D39" w:rsidRPr="004B018C" w:rsidRDefault="00561D39" w:rsidP="00466E1F">
      <w:pPr>
        <w:pStyle w:val="References"/>
      </w:pPr>
      <w:r w:rsidRPr="004B018C">
        <w:t xml:space="preserve">McKenzie, D. and and Özler, B. (2011) </w:t>
      </w:r>
      <w:r w:rsidRPr="004B018C">
        <w:rPr>
          <w:i/>
          <w:iCs/>
        </w:rPr>
        <w:t xml:space="preserve">The </w:t>
      </w:r>
      <w:r w:rsidR="002F1955">
        <w:rPr>
          <w:i/>
          <w:iCs/>
        </w:rPr>
        <w:t>I</w:t>
      </w:r>
      <w:r w:rsidRPr="004B018C">
        <w:rPr>
          <w:i/>
          <w:iCs/>
        </w:rPr>
        <w:t xml:space="preserve">mpact of </w:t>
      </w:r>
      <w:r w:rsidR="002F1955">
        <w:rPr>
          <w:i/>
          <w:iCs/>
        </w:rPr>
        <w:t>E</w:t>
      </w:r>
      <w:r w:rsidRPr="004B018C">
        <w:rPr>
          <w:i/>
          <w:iCs/>
        </w:rPr>
        <w:t xml:space="preserve">conomics </w:t>
      </w:r>
      <w:r w:rsidR="002F1955">
        <w:rPr>
          <w:i/>
          <w:iCs/>
        </w:rPr>
        <w:t>B</w:t>
      </w:r>
      <w:r w:rsidRPr="004B018C">
        <w:rPr>
          <w:i/>
          <w:iCs/>
        </w:rPr>
        <w:t xml:space="preserve">logs. </w:t>
      </w:r>
      <w:r w:rsidRPr="004B018C">
        <w:t xml:space="preserve">US: World Bank Development and Research Group. </w:t>
      </w:r>
      <w:r w:rsidR="00F7682C" w:rsidRPr="004B018C">
        <w:t>Accessed</w:t>
      </w:r>
      <w:r w:rsidR="00F7682C">
        <w:t xml:space="preserve"> </w:t>
      </w:r>
      <w:r w:rsidR="00F7682C" w:rsidRPr="004B018C">
        <w:t xml:space="preserve">17th March 2017. </w:t>
      </w:r>
      <w:hyperlink r:id="rId14" w:history="1">
        <w:r w:rsidR="00F7682C" w:rsidRPr="004B56B9">
          <w:rPr>
            <w:rStyle w:val="Hyperlink"/>
            <w:rFonts w:ascii="Verdana" w:hAnsi="Verdana"/>
            <w:sz w:val="18"/>
            <w:szCs w:val="18"/>
          </w:rPr>
          <w:t>http://elibrary.worldbank.org/doi/pdf/10.1596/1813-9450-5783</w:t>
        </w:r>
      </w:hyperlink>
      <w:r w:rsidRPr="004B018C">
        <w:t xml:space="preserve"> </w:t>
      </w:r>
    </w:p>
    <w:p w14:paraId="6C6477E2" w14:textId="665E275A" w:rsidR="000C4DE1" w:rsidRDefault="000C4DE1" w:rsidP="002509C7">
      <w:pPr>
        <w:pStyle w:val="References"/>
      </w:pPr>
      <w:r w:rsidRPr="001E0D4A">
        <w:t>Mercer, N. and and Howe, C. (2012) 'Explaining the dialogic processes of teaching and learning: the value and potential of sociocultural theory.', </w:t>
      </w:r>
      <w:r w:rsidRPr="001E0D4A">
        <w:rPr>
          <w:i/>
        </w:rPr>
        <w:t>Learning, Culture and Social Interaction</w:t>
      </w:r>
      <w:r w:rsidRPr="001E0D4A">
        <w:t>, 1, pp. 12-21.</w:t>
      </w:r>
    </w:p>
    <w:p w14:paraId="4971054C" w14:textId="33DE25FF" w:rsidR="00561D39" w:rsidRDefault="00561D39" w:rsidP="00466E1F">
      <w:pPr>
        <w:pStyle w:val="References"/>
      </w:pPr>
      <w:r w:rsidRPr="004B018C">
        <w:t xml:space="preserve">Moore, P. (2006) </w:t>
      </w:r>
      <w:r w:rsidRPr="004B018C">
        <w:rPr>
          <w:i/>
          <w:iCs/>
        </w:rPr>
        <w:t xml:space="preserve">Iterative Best Evidence Synthesis Programme, Evidence Based Policy Project / Hei Kete Raukura. </w:t>
      </w:r>
      <w:r w:rsidRPr="004B018C">
        <w:t xml:space="preserve">New Zealand: Ministry of Education. </w:t>
      </w:r>
    </w:p>
    <w:p w14:paraId="2D42298B" w14:textId="6A63F63C" w:rsidR="0010074C" w:rsidRPr="004B018C" w:rsidRDefault="002A4CB5" w:rsidP="00466E1F">
      <w:pPr>
        <w:pStyle w:val="References"/>
      </w:pPr>
      <w:r>
        <w:t xml:space="preserve">NCDDR (1996) </w:t>
      </w:r>
      <w:r w:rsidRPr="002A4CB5">
        <w:rPr>
          <w:i/>
        </w:rPr>
        <w:t xml:space="preserve">A </w:t>
      </w:r>
      <w:r w:rsidR="009F7D73">
        <w:rPr>
          <w:i/>
        </w:rPr>
        <w:t>R</w:t>
      </w:r>
      <w:r w:rsidRPr="002A4CB5">
        <w:rPr>
          <w:i/>
        </w:rPr>
        <w:t xml:space="preserve">eview of the </w:t>
      </w:r>
      <w:r w:rsidR="009F7D73">
        <w:rPr>
          <w:i/>
        </w:rPr>
        <w:t>L</w:t>
      </w:r>
      <w:r w:rsidRPr="002A4CB5">
        <w:rPr>
          <w:i/>
        </w:rPr>
        <w:t xml:space="preserve">iterature on </w:t>
      </w:r>
      <w:r w:rsidR="009F7D73">
        <w:rPr>
          <w:i/>
        </w:rPr>
        <w:t>D</w:t>
      </w:r>
      <w:r w:rsidRPr="002A4CB5">
        <w:rPr>
          <w:i/>
        </w:rPr>
        <w:t xml:space="preserve">issemination and </w:t>
      </w:r>
      <w:r w:rsidR="009F7D73">
        <w:rPr>
          <w:i/>
        </w:rPr>
        <w:t>K</w:t>
      </w:r>
      <w:r w:rsidRPr="002A4CB5">
        <w:rPr>
          <w:i/>
        </w:rPr>
        <w:t xml:space="preserve">nowledge </w:t>
      </w:r>
      <w:r w:rsidR="009F7D73">
        <w:rPr>
          <w:i/>
        </w:rPr>
        <w:t>U</w:t>
      </w:r>
      <w:r w:rsidRPr="002A4CB5">
        <w:rPr>
          <w:i/>
        </w:rPr>
        <w:t>tilization</w:t>
      </w:r>
      <w:r>
        <w:t>, National Center for the Dissemination of Disability Research: Southwest Educational Development Laboratory.</w:t>
      </w:r>
    </w:p>
    <w:p w14:paraId="436E7BD1" w14:textId="4F240032" w:rsidR="006B137B" w:rsidRPr="004B018C" w:rsidRDefault="006B137B" w:rsidP="00466E1F">
      <w:pPr>
        <w:pStyle w:val="References"/>
      </w:pPr>
      <w:r>
        <w:t xml:space="preserve">Pareja Roblin, N.; Ormel, B.; McKenney, S.; Voogt, J.; and Pieters, J. (2014) Linking </w:t>
      </w:r>
      <w:r w:rsidR="009F7D73">
        <w:t>R</w:t>
      </w:r>
      <w:r>
        <w:t xml:space="preserve">esearch and </w:t>
      </w:r>
      <w:r w:rsidR="009F7D73">
        <w:t>P</w:t>
      </w:r>
      <w:r>
        <w:t xml:space="preserve">ractice </w:t>
      </w:r>
      <w:r w:rsidR="009F7D73">
        <w:t>T</w:t>
      </w:r>
      <w:r>
        <w:t xml:space="preserve">hrough </w:t>
      </w:r>
      <w:r w:rsidR="009F7D73">
        <w:t>T</w:t>
      </w:r>
      <w:r>
        <w:t xml:space="preserve">eacher </w:t>
      </w:r>
      <w:r w:rsidR="009F7D73">
        <w:t>C</w:t>
      </w:r>
      <w:r>
        <w:t xml:space="preserve">ommunities: a </w:t>
      </w:r>
      <w:r w:rsidR="009F7D73">
        <w:t>P</w:t>
      </w:r>
      <w:r>
        <w:t xml:space="preserve">lace </w:t>
      </w:r>
      <w:r w:rsidR="009F7D73">
        <w:t>W</w:t>
      </w:r>
      <w:r>
        <w:t xml:space="preserve">here </w:t>
      </w:r>
      <w:r w:rsidR="009F7D73">
        <w:t>F</w:t>
      </w:r>
      <w:r>
        <w:t xml:space="preserve">ormal and </w:t>
      </w:r>
      <w:r w:rsidR="009F7D73">
        <w:t>P</w:t>
      </w:r>
      <w:r>
        <w:t xml:space="preserve">ractical </w:t>
      </w:r>
      <w:r w:rsidR="009F7D73">
        <w:t>K</w:t>
      </w:r>
      <w:r>
        <w:t xml:space="preserve">nowledge </w:t>
      </w:r>
      <w:r w:rsidR="009F7D73">
        <w:t>M</w:t>
      </w:r>
      <w:r>
        <w:t xml:space="preserve">eet? </w:t>
      </w:r>
      <w:r w:rsidRPr="006B137B">
        <w:rPr>
          <w:i/>
        </w:rPr>
        <w:t>European Journal of Teacher Education</w:t>
      </w:r>
      <w:r>
        <w:t>, 37(2),</w:t>
      </w:r>
      <w:r w:rsidR="00667469">
        <w:t xml:space="preserve"> </w:t>
      </w:r>
      <w:r>
        <w:t>183-203.</w:t>
      </w:r>
    </w:p>
    <w:p w14:paraId="0090DCB8" w14:textId="2F327316" w:rsidR="00561D39" w:rsidRPr="004B018C" w:rsidRDefault="00561D39" w:rsidP="00466E1F">
      <w:pPr>
        <w:pStyle w:val="References"/>
      </w:pPr>
      <w:r w:rsidRPr="004B018C">
        <w:t xml:space="preserve">Plume, A. and and Kamalski, J. (2014) </w:t>
      </w:r>
      <w:r w:rsidRPr="004B018C">
        <w:rPr>
          <w:i/>
          <w:iCs/>
        </w:rPr>
        <w:t xml:space="preserve">Article </w:t>
      </w:r>
      <w:r w:rsidR="009F7D73">
        <w:rPr>
          <w:i/>
          <w:iCs/>
        </w:rPr>
        <w:t>D</w:t>
      </w:r>
      <w:r w:rsidRPr="004B018C">
        <w:rPr>
          <w:i/>
          <w:iCs/>
        </w:rPr>
        <w:t xml:space="preserve">ownloads: an </w:t>
      </w:r>
      <w:r w:rsidR="009F7D73">
        <w:rPr>
          <w:i/>
          <w:iCs/>
        </w:rPr>
        <w:t>A</w:t>
      </w:r>
      <w:r w:rsidRPr="004B018C">
        <w:rPr>
          <w:i/>
          <w:iCs/>
        </w:rPr>
        <w:t xml:space="preserve">lternative </w:t>
      </w:r>
      <w:r w:rsidR="009F7D73">
        <w:rPr>
          <w:i/>
          <w:iCs/>
        </w:rPr>
        <w:t>I</w:t>
      </w:r>
      <w:r w:rsidRPr="004B018C">
        <w:rPr>
          <w:i/>
          <w:iCs/>
        </w:rPr>
        <w:t xml:space="preserve">ndicator of </w:t>
      </w:r>
      <w:r w:rsidR="009F7D73">
        <w:rPr>
          <w:i/>
          <w:iCs/>
        </w:rPr>
        <w:t>N</w:t>
      </w:r>
      <w:r w:rsidRPr="004B018C">
        <w:rPr>
          <w:i/>
          <w:iCs/>
        </w:rPr>
        <w:t xml:space="preserve">ational </w:t>
      </w:r>
      <w:r w:rsidR="009F7D73">
        <w:rPr>
          <w:i/>
          <w:iCs/>
        </w:rPr>
        <w:t>R</w:t>
      </w:r>
      <w:r w:rsidRPr="004B018C">
        <w:rPr>
          <w:i/>
          <w:iCs/>
        </w:rPr>
        <w:t xml:space="preserve">esearch </w:t>
      </w:r>
      <w:r w:rsidR="009F7D73">
        <w:rPr>
          <w:i/>
          <w:iCs/>
        </w:rPr>
        <w:t>I</w:t>
      </w:r>
      <w:r w:rsidRPr="004B018C">
        <w:rPr>
          <w:i/>
          <w:iCs/>
        </w:rPr>
        <w:t xml:space="preserve">mpact and </w:t>
      </w:r>
      <w:r w:rsidR="009F7D73">
        <w:rPr>
          <w:i/>
          <w:iCs/>
        </w:rPr>
        <w:t>C</w:t>
      </w:r>
      <w:r w:rsidRPr="004B018C">
        <w:rPr>
          <w:i/>
          <w:iCs/>
        </w:rPr>
        <w:t>ross-</w:t>
      </w:r>
      <w:r w:rsidR="009F7D73">
        <w:rPr>
          <w:i/>
          <w:iCs/>
        </w:rPr>
        <w:t>S</w:t>
      </w:r>
      <w:r w:rsidRPr="004B018C">
        <w:rPr>
          <w:i/>
          <w:iCs/>
        </w:rPr>
        <w:t xml:space="preserve">ector </w:t>
      </w:r>
      <w:r w:rsidR="009F7D73">
        <w:rPr>
          <w:i/>
          <w:iCs/>
        </w:rPr>
        <w:t>K</w:t>
      </w:r>
      <w:r w:rsidRPr="004B018C">
        <w:rPr>
          <w:i/>
          <w:iCs/>
        </w:rPr>
        <w:t xml:space="preserve">nowledge </w:t>
      </w:r>
      <w:r w:rsidR="009F7D73">
        <w:rPr>
          <w:i/>
          <w:iCs/>
        </w:rPr>
        <w:t>E</w:t>
      </w:r>
      <w:r w:rsidRPr="004B018C">
        <w:rPr>
          <w:i/>
          <w:iCs/>
        </w:rPr>
        <w:t xml:space="preserve">xchange. </w:t>
      </w:r>
      <w:r w:rsidRPr="004B018C">
        <w:t xml:space="preserve">Researchtrends. </w:t>
      </w:r>
      <w:r w:rsidR="00F7682C" w:rsidRPr="004B018C">
        <w:t>Accessed 20th March 2017</w:t>
      </w:r>
      <w:r w:rsidR="00F7682C">
        <w:t xml:space="preserve">. </w:t>
      </w:r>
      <w:hyperlink r:id="rId15" w:history="1">
        <w:r w:rsidR="00574385" w:rsidRPr="004B56B9">
          <w:rPr>
            <w:rStyle w:val="Hyperlink"/>
            <w:rFonts w:ascii="Verdana" w:hAnsi="Verdana"/>
            <w:sz w:val="18"/>
            <w:szCs w:val="18"/>
          </w:rPr>
          <w:t>https://www.researchtrends.com/issue-36-march-2014/article-downloads/</w:t>
        </w:r>
      </w:hyperlink>
      <w:r w:rsidRPr="004B018C">
        <w:t xml:space="preserve"> </w:t>
      </w:r>
    </w:p>
    <w:p w14:paraId="5936D22A" w14:textId="41DE1D77" w:rsidR="00AD358D" w:rsidRDefault="00AD358D" w:rsidP="00466E1F">
      <w:pPr>
        <w:pStyle w:val="References"/>
      </w:pPr>
      <w:r>
        <w:t xml:space="preserve">Rey, O.; and Gaussel, M. (2016) The </w:t>
      </w:r>
      <w:r w:rsidR="009F7D73">
        <w:t>C</w:t>
      </w:r>
      <w:r>
        <w:t xml:space="preserve">onditions for the </w:t>
      </w:r>
      <w:r w:rsidR="009F7D73">
        <w:t>Su</w:t>
      </w:r>
      <w:r>
        <w:t xml:space="preserve">ccessful </w:t>
      </w:r>
      <w:r w:rsidR="009F7D73">
        <w:t>U</w:t>
      </w:r>
      <w:r>
        <w:t xml:space="preserve">se of </w:t>
      </w:r>
      <w:r w:rsidR="009F7D73">
        <w:t>R</w:t>
      </w:r>
      <w:r>
        <w:t xml:space="preserve">esearch </w:t>
      </w:r>
      <w:r w:rsidR="009F7D73">
        <w:t>R</w:t>
      </w:r>
      <w:r>
        <w:t xml:space="preserve">esults by </w:t>
      </w:r>
      <w:r w:rsidR="009F7D73">
        <w:t>T</w:t>
      </w:r>
      <w:r>
        <w:t xml:space="preserve">eachers: </w:t>
      </w:r>
      <w:r w:rsidR="009F7D73">
        <w:t>R</w:t>
      </w:r>
      <w:r>
        <w:t xml:space="preserve">eflections on </w:t>
      </w:r>
      <w:r w:rsidR="009F7D73">
        <w:t>S</w:t>
      </w:r>
      <w:r>
        <w:t xml:space="preserve">ome </w:t>
      </w:r>
      <w:r w:rsidR="009F7D73">
        <w:t>I</w:t>
      </w:r>
      <w:r>
        <w:t xml:space="preserve">nnovations in France, </w:t>
      </w:r>
      <w:r w:rsidRPr="00AD358D">
        <w:rPr>
          <w:i/>
        </w:rPr>
        <w:t>European Journal of Teacher Education</w:t>
      </w:r>
      <w:r>
        <w:t>, 39(5), 577 – 587.</w:t>
      </w:r>
    </w:p>
    <w:p w14:paraId="27297099" w14:textId="6F57BF87" w:rsidR="00561D39" w:rsidRDefault="00561D39" w:rsidP="00466E1F">
      <w:pPr>
        <w:pStyle w:val="References"/>
        <w:rPr>
          <w:iCs/>
        </w:rPr>
      </w:pPr>
      <w:r w:rsidRPr="00152E5C">
        <w:rPr>
          <w:iCs/>
        </w:rPr>
        <w:t>Sheskin, D</w:t>
      </w:r>
      <w:r w:rsidR="00E969CC">
        <w:rPr>
          <w:iCs/>
        </w:rPr>
        <w:t xml:space="preserve">. </w:t>
      </w:r>
      <w:r w:rsidRPr="00152E5C">
        <w:rPr>
          <w:iCs/>
        </w:rPr>
        <w:t xml:space="preserve">(2004). </w:t>
      </w:r>
      <w:r w:rsidRPr="00152E5C">
        <w:rPr>
          <w:i/>
          <w:iCs/>
        </w:rPr>
        <w:t>Handbook of Parametric and Nonparametric Statistical Procedures</w:t>
      </w:r>
      <w:r w:rsidRPr="00152E5C">
        <w:rPr>
          <w:iCs/>
        </w:rPr>
        <w:t>. CRC Press.</w:t>
      </w:r>
    </w:p>
    <w:p w14:paraId="6368E60A" w14:textId="3A213123" w:rsidR="00E969CC" w:rsidRPr="00E969CC" w:rsidRDefault="00E969CC" w:rsidP="00E969CC">
      <w:pPr>
        <w:pStyle w:val="References"/>
        <w:rPr>
          <w:iCs/>
        </w:rPr>
      </w:pPr>
      <w:r w:rsidRPr="00E969CC">
        <w:rPr>
          <w:iCs/>
        </w:rPr>
        <w:t>Siemens, G. (2005) 'Connectivism: a learning theory for the digital age', </w:t>
      </w:r>
      <w:r w:rsidRPr="00E969CC">
        <w:rPr>
          <w:i/>
          <w:iCs/>
        </w:rPr>
        <w:t>International Journal of Instructional Technology and Distance Learning,</w:t>
      </w:r>
      <w:r w:rsidRPr="00E969CC">
        <w:rPr>
          <w:iCs/>
        </w:rPr>
        <w:t xml:space="preserve"> pp. 1-8.</w:t>
      </w:r>
    </w:p>
    <w:p w14:paraId="110EC45D" w14:textId="6E037ED0" w:rsidR="00561D39" w:rsidRPr="004B018C" w:rsidRDefault="00561D39" w:rsidP="00466E1F">
      <w:pPr>
        <w:pStyle w:val="References"/>
      </w:pPr>
      <w:r w:rsidRPr="004B018C">
        <w:lastRenderedPageBreak/>
        <w:t xml:space="preserve">Southwell, D., Gannaway, D., Orrell, J., Chalmers, D. and Abraham, C. (2010) 'Strategies for </w:t>
      </w:r>
      <w:r w:rsidR="009F7D73">
        <w:t>E</w:t>
      </w:r>
      <w:r w:rsidRPr="004B018C">
        <w:t xml:space="preserve">ffective </w:t>
      </w:r>
      <w:r w:rsidR="009F7D73">
        <w:t>D</w:t>
      </w:r>
      <w:r w:rsidRPr="004B018C">
        <w:t xml:space="preserve">issemination of the </w:t>
      </w:r>
      <w:r w:rsidR="009F7D73">
        <w:t>O</w:t>
      </w:r>
      <w:r w:rsidRPr="004B018C">
        <w:t xml:space="preserve">utcomes of </w:t>
      </w:r>
      <w:r w:rsidR="009F7D73">
        <w:t>T</w:t>
      </w:r>
      <w:r w:rsidRPr="004B018C">
        <w:t xml:space="preserve">eaching and </w:t>
      </w:r>
      <w:r w:rsidR="009F7D73">
        <w:t>L</w:t>
      </w:r>
      <w:r w:rsidRPr="004B018C">
        <w:t xml:space="preserve">earning </w:t>
      </w:r>
      <w:r w:rsidR="009F7D73">
        <w:t>P</w:t>
      </w:r>
      <w:r w:rsidRPr="004B018C">
        <w:t xml:space="preserve">rojects', </w:t>
      </w:r>
      <w:r w:rsidRPr="004B018C">
        <w:rPr>
          <w:i/>
          <w:iCs/>
        </w:rPr>
        <w:t xml:space="preserve">Journal of Higher Education Policy &amp; Management, </w:t>
      </w:r>
      <w:r w:rsidRPr="004B018C">
        <w:t>32(1), 55-67.</w:t>
      </w:r>
    </w:p>
    <w:p w14:paraId="6E0B84FA" w14:textId="7B8F9764" w:rsidR="00561D39" w:rsidRPr="004B018C" w:rsidRDefault="00561D39" w:rsidP="00466E1F">
      <w:pPr>
        <w:pStyle w:val="References"/>
      </w:pPr>
      <w:r w:rsidRPr="004B018C">
        <w:t xml:space="preserve">Stevens, R.J. (2004) 'Why do </w:t>
      </w:r>
      <w:r w:rsidR="009F7D73">
        <w:t>E</w:t>
      </w:r>
      <w:r w:rsidRPr="004B018C">
        <w:t xml:space="preserve">ducational </w:t>
      </w:r>
      <w:r w:rsidR="009F7D73">
        <w:t>I</w:t>
      </w:r>
      <w:r w:rsidRPr="004B018C">
        <w:t xml:space="preserve">nnovations </w:t>
      </w:r>
      <w:r w:rsidR="009F7D73">
        <w:t>C</w:t>
      </w:r>
      <w:r w:rsidRPr="004B018C">
        <w:t xml:space="preserve">ome and </w:t>
      </w:r>
      <w:r w:rsidR="009F7D73">
        <w:t>G</w:t>
      </w:r>
      <w:r w:rsidRPr="004B018C">
        <w:t xml:space="preserve">o? What </w:t>
      </w:r>
      <w:r w:rsidR="009F7D73">
        <w:t>D</w:t>
      </w:r>
      <w:r w:rsidRPr="004B018C">
        <w:t xml:space="preserve">o </w:t>
      </w:r>
      <w:r w:rsidR="009F7D73">
        <w:t>W</w:t>
      </w:r>
      <w:r w:rsidRPr="004B018C">
        <w:t xml:space="preserve">e </w:t>
      </w:r>
      <w:r w:rsidR="009F7D73">
        <w:t>K</w:t>
      </w:r>
      <w:r w:rsidRPr="004B018C">
        <w:t xml:space="preserve">now? What </w:t>
      </w:r>
      <w:r w:rsidR="009F7D73">
        <w:t>C</w:t>
      </w:r>
      <w:r w:rsidRPr="004B018C">
        <w:t xml:space="preserve">an </w:t>
      </w:r>
      <w:r w:rsidR="009F7D73">
        <w:t>W</w:t>
      </w:r>
      <w:r w:rsidRPr="004B018C">
        <w:t xml:space="preserve">e </w:t>
      </w:r>
      <w:r w:rsidR="009F7D73">
        <w:t>D</w:t>
      </w:r>
      <w:r w:rsidRPr="004B018C">
        <w:t xml:space="preserve">o?', </w:t>
      </w:r>
      <w:r w:rsidRPr="004B018C">
        <w:rPr>
          <w:i/>
          <w:iCs/>
        </w:rPr>
        <w:t xml:space="preserve">Teaching and Teacher Education, </w:t>
      </w:r>
      <w:r w:rsidRPr="004B018C">
        <w:t xml:space="preserve">20, 389-396. </w:t>
      </w:r>
    </w:p>
    <w:p w14:paraId="4AF95B70" w14:textId="6BCCA60C" w:rsidR="00561D39" w:rsidRPr="004B018C" w:rsidRDefault="00561D39" w:rsidP="00466E1F">
      <w:pPr>
        <w:pStyle w:val="References"/>
      </w:pPr>
      <w:r w:rsidRPr="004B018C">
        <w:t>Sullivan, M. (20</w:t>
      </w:r>
      <w:r w:rsidR="00B81E99">
        <w:t xml:space="preserve">16) 'Misunderstood </w:t>
      </w:r>
      <w:r w:rsidR="009F7D73">
        <w:t>M</w:t>
      </w:r>
      <w:r w:rsidR="00B81E99">
        <w:t xml:space="preserve">etrics: </w:t>
      </w:r>
      <w:r w:rsidR="009F7D73">
        <w:t>U</w:t>
      </w:r>
      <w:r w:rsidR="00B81E99">
        <w:t>niqu</w:t>
      </w:r>
      <w:r w:rsidRPr="004B018C">
        <w:t xml:space="preserve">e </w:t>
      </w:r>
      <w:r w:rsidR="009F7D73">
        <w:t>E</w:t>
      </w:r>
      <w:r w:rsidRPr="004B018C">
        <w:t xml:space="preserve">vents', </w:t>
      </w:r>
      <w:r w:rsidRPr="004B018C">
        <w:rPr>
          <w:i/>
          <w:iCs/>
        </w:rPr>
        <w:t>Analytical Edge</w:t>
      </w:r>
      <w:r w:rsidR="00667469">
        <w:t>,</w:t>
      </w:r>
      <w:r w:rsidRPr="004B018C">
        <w:t xml:space="preserve"> </w:t>
      </w:r>
      <w:r w:rsidR="00F7682C" w:rsidRPr="004B018C">
        <w:t xml:space="preserve">Accessed September 2016. </w:t>
      </w:r>
      <w:r w:rsidRPr="004B018C">
        <w:t xml:space="preserve"> </w:t>
      </w:r>
      <w:hyperlink r:id="rId16" w:tgtFrame="_blank" w:history="1">
        <w:r w:rsidRPr="004B018C">
          <w:rPr>
            <w:rStyle w:val="Hyperlink"/>
            <w:rFonts w:ascii="Verdana" w:hAnsi="Verdana"/>
            <w:sz w:val="18"/>
            <w:szCs w:val="18"/>
          </w:rPr>
          <w:t>http://help.analyticsedge.com/googleanalytics/misunderstood-metrics-unique-events/</w:t>
        </w:r>
      </w:hyperlink>
      <w:r w:rsidRPr="004B018C">
        <w:t xml:space="preserve"> </w:t>
      </w:r>
    </w:p>
    <w:p w14:paraId="5B35B1D3" w14:textId="59AEC110" w:rsidR="00561D39" w:rsidRDefault="00561D39" w:rsidP="00466E1F">
      <w:pPr>
        <w:pStyle w:val="References"/>
      </w:pPr>
      <w:r w:rsidRPr="004B018C">
        <w:t xml:space="preserve">Thelwall, M. (2017) </w:t>
      </w:r>
      <w:r w:rsidRPr="004B018C">
        <w:rPr>
          <w:i/>
          <w:iCs/>
        </w:rPr>
        <w:t xml:space="preserve">Web </w:t>
      </w:r>
      <w:r w:rsidR="009F7D73">
        <w:rPr>
          <w:i/>
          <w:iCs/>
        </w:rPr>
        <w:t>I</w:t>
      </w:r>
      <w:r w:rsidRPr="004B018C">
        <w:rPr>
          <w:i/>
          <w:iCs/>
        </w:rPr>
        <w:t xml:space="preserve">ndicators for </w:t>
      </w:r>
      <w:r w:rsidR="009F7D73">
        <w:rPr>
          <w:i/>
          <w:iCs/>
        </w:rPr>
        <w:t>R</w:t>
      </w:r>
      <w:r w:rsidRPr="004B018C">
        <w:rPr>
          <w:i/>
          <w:iCs/>
        </w:rPr>
        <w:t xml:space="preserve">esearch </w:t>
      </w:r>
      <w:r w:rsidR="009F7D73">
        <w:rPr>
          <w:i/>
          <w:iCs/>
        </w:rPr>
        <w:t>E</w:t>
      </w:r>
      <w:r w:rsidRPr="004B018C">
        <w:rPr>
          <w:i/>
          <w:iCs/>
        </w:rPr>
        <w:t xml:space="preserve">valuation: </w:t>
      </w:r>
      <w:r w:rsidR="009F7D73">
        <w:rPr>
          <w:i/>
          <w:iCs/>
        </w:rPr>
        <w:t>A</w:t>
      </w:r>
      <w:r w:rsidRPr="004B018C">
        <w:rPr>
          <w:i/>
          <w:iCs/>
        </w:rPr>
        <w:t xml:space="preserve"> </w:t>
      </w:r>
      <w:r w:rsidR="009F7D73">
        <w:rPr>
          <w:i/>
          <w:iCs/>
        </w:rPr>
        <w:t>P</w:t>
      </w:r>
      <w:r w:rsidRPr="004B018C">
        <w:rPr>
          <w:i/>
          <w:iCs/>
        </w:rPr>
        <w:t xml:space="preserve">ractical </w:t>
      </w:r>
      <w:r w:rsidR="009F7D73">
        <w:rPr>
          <w:i/>
          <w:iCs/>
        </w:rPr>
        <w:t>G</w:t>
      </w:r>
      <w:r w:rsidRPr="004B018C">
        <w:rPr>
          <w:i/>
          <w:iCs/>
        </w:rPr>
        <w:t xml:space="preserve">uide. </w:t>
      </w:r>
      <w:r w:rsidRPr="004B018C">
        <w:t xml:space="preserve">University of North Carolina: Morgan and Claypool Publishers. </w:t>
      </w:r>
    </w:p>
    <w:p w14:paraId="20316A71" w14:textId="1999E0FA" w:rsidR="00A03388" w:rsidRPr="004B018C" w:rsidRDefault="00A03388" w:rsidP="00A03388">
      <w:pPr>
        <w:pStyle w:val="References"/>
      </w:pPr>
      <w:r w:rsidRPr="00A03388">
        <w:t>Vanderlinde, R. and and van Braak, J. (2010) 'The gap between educational research and practice: views of teachers, school leaders, intermediaries and researchers', </w:t>
      </w:r>
      <w:r w:rsidRPr="00A03388">
        <w:rPr>
          <w:i/>
        </w:rPr>
        <w:t>British Educational Research Journal</w:t>
      </w:r>
      <w:r w:rsidRPr="00A03388">
        <w:t>, 36(2), pp. 299-316.</w:t>
      </w:r>
    </w:p>
    <w:p w14:paraId="44616C0C" w14:textId="1151627B" w:rsidR="006B137B" w:rsidRPr="006B137B" w:rsidRDefault="006B137B" w:rsidP="00466E1F">
      <w:pPr>
        <w:pStyle w:val="References"/>
      </w:pPr>
      <w:r w:rsidRPr="006B137B">
        <w:t xml:space="preserve">Van der Linden, W.; Bakx, A.; Ros, A.; Beijaard, D.; and Vermeulen, M. (2012) Student </w:t>
      </w:r>
      <w:r w:rsidR="009F7D73">
        <w:t>T</w:t>
      </w:r>
      <w:r w:rsidRPr="006B137B">
        <w:t xml:space="preserve">eachers’ </w:t>
      </w:r>
      <w:r w:rsidR="009F7D73">
        <w:t>D</w:t>
      </w:r>
      <w:r w:rsidRPr="006B137B">
        <w:t xml:space="preserve">evelopment of a </w:t>
      </w:r>
      <w:r w:rsidR="009F7D73">
        <w:t>P</w:t>
      </w:r>
      <w:r w:rsidRPr="006B137B">
        <w:t xml:space="preserve">ositive </w:t>
      </w:r>
      <w:r w:rsidR="009F7D73">
        <w:t>A</w:t>
      </w:r>
      <w:r w:rsidRPr="006B137B">
        <w:t xml:space="preserve">ttitude </w:t>
      </w:r>
      <w:r w:rsidR="009F7D73">
        <w:t>T</w:t>
      </w:r>
      <w:r w:rsidRPr="006B137B">
        <w:t xml:space="preserve">owards </w:t>
      </w:r>
      <w:r w:rsidR="009F7D73">
        <w:t>R</w:t>
      </w:r>
      <w:r w:rsidRPr="006B137B">
        <w:t xml:space="preserve">esearch and </w:t>
      </w:r>
      <w:r w:rsidR="009F7D73">
        <w:t>R</w:t>
      </w:r>
      <w:r w:rsidRPr="006B137B">
        <w:t xml:space="preserve">esearch </w:t>
      </w:r>
      <w:r w:rsidR="009F7D73">
        <w:t>K</w:t>
      </w:r>
      <w:r w:rsidRPr="006B137B">
        <w:t xml:space="preserve">nowledge and </w:t>
      </w:r>
      <w:r w:rsidR="009F7D73">
        <w:t>S</w:t>
      </w:r>
      <w:r w:rsidRPr="006B137B">
        <w:t xml:space="preserve">kills, </w:t>
      </w:r>
      <w:r w:rsidRPr="00681C3F">
        <w:rPr>
          <w:i/>
        </w:rPr>
        <w:t>European Journal of Teacher Education</w:t>
      </w:r>
      <w:r w:rsidRPr="006B137B">
        <w:t>, 35(</w:t>
      </w:r>
      <w:r>
        <w:t>4),</w:t>
      </w:r>
      <w:r w:rsidR="00681C3F">
        <w:t xml:space="preserve"> 401 – 419.</w:t>
      </w:r>
    </w:p>
    <w:p w14:paraId="0AFBE986" w14:textId="4BEB1F72" w:rsidR="00561D39" w:rsidRDefault="00561D39" w:rsidP="00466E1F">
      <w:pPr>
        <w:pStyle w:val="References"/>
      </w:pPr>
      <w:r w:rsidRPr="004B018C">
        <w:t xml:space="preserve">Winkelman, S., Rots, A., Duffy, A., Blecksmith, S. and and Jerius, D. (2006) </w:t>
      </w:r>
      <w:r w:rsidRPr="004B018C">
        <w:rPr>
          <w:i/>
          <w:iCs/>
        </w:rPr>
        <w:t xml:space="preserve">Where </w:t>
      </w:r>
      <w:r w:rsidR="00E263D2">
        <w:rPr>
          <w:i/>
          <w:iCs/>
        </w:rPr>
        <w:t>D</w:t>
      </w:r>
      <w:r w:rsidRPr="004B018C">
        <w:rPr>
          <w:i/>
          <w:iCs/>
        </w:rPr>
        <w:t xml:space="preserve">o the </w:t>
      </w:r>
      <w:r w:rsidR="00E263D2">
        <w:rPr>
          <w:i/>
          <w:iCs/>
        </w:rPr>
        <w:t>D</w:t>
      </w:r>
      <w:r w:rsidRPr="004B018C">
        <w:rPr>
          <w:i/>
          <w:iCs/>
        </w:rPr>
        <w:t xml:space="preserve">ata </w:t>
      </w:r>
      <w:r w:rsidR="00E263D2">
        <w:rPr>
          <w:i/>
          <w:iCs/>
        </w:rPr>
        <w:t>G</w:t>
      </w:r>
      <w:r w:rsidRPr="004B018C">
        <w:rPr>
          <w:i/>
          <w:iCs/>
        </w:rPr>
        <w:t xml:space="preserve">o? An </w:t>
      </w:r>
      <w:r w:rsidR="00E263D2">
        <w:rPr>
          <w:i/>
          <w:iCs/>
        </w:rPr>
        <w:t>A</w:t>
      </w:r>
      <w:r w:rsidRPr="004B018C">
        <w:rPr>
          <w:i/>
          <w:iCs/>
        </w:rPr>
        <w:t>nalysis</w:t>
      </w:r>
      <w:r w:rsidR="00651999">
        <w:rPr>
          <w:i/>
          <w:iCs/>
        </w:rPr>
        <w:t xml:space="preserve"> of Chandra </w:t>
      </w:r>
      <w:r w:rsidR="00E263D2">
        <w:rPr>
          <w:i/>
          <w:iCs/>
        </w:rPr>
        <w:t>D</w:t>
      </w:r>
      <w:r w:rsidR="00651999">
        <w:rPr>
          <w:i/>
          <w:iCs/>
        </w:rPr>
        <w:t xml:space="preserve">ata </w:t>
      </w:r>
      <w:r w:rsidR="00E263D2">
        <w:rPr>
          <w:i/>
          <w:iCs/>
        </w:rPr>
        <w:t>D</w:t>
      </w:r>
      <w:r w:rsidR="00651999">
        <w:rPr>
          <w:i/>
          <w:iCs/>
        </w:rPr>
        <w:t>issemination</w:t>
      </w:r>
      <w:r w:rsidRPr="004B018C">
        <w:t xml:space="preserve">, Spain. 2005. San Fransisco: Astronomical Society of the Pacific, 93. </w:t>
      </w:r>
    </w:p>
    <w:p w14:paraId="162228AA" w14:textId="2467BE80" w:rsidR="000923D1" w:rsidRPr="00A03388" w:rsidRDefault="000923D1" w:rsidP="00A03388">
      <w:pPr>
        <w:pStyle w:val="References"/>
      </w:pPr>
      <w:r w:rsidRPr="001E0D4A">
        <w:t>World Health Organisation (2014) </w:t>
      </w:r>
      <w:r w:rsidRPr="001E0D4A">
        <w:rPr>
          <w:i/>
        </w:rPr>
        <w:t>Implementation research toolkit</w:t>
      </w:r>
      <w:r w:rsidRPr="001E0D4A">
        <w:t>. Switzerland: Geneva: World Health Organisation. Available at: </w:t>
      </w:r>
      <w:hyperlink r:id="rId17" w:tgtFrame="_blank" w:history="1">
        <w:r w:rsidRPr="001E0D4A">
          <w:t>http://www.who.int/tdr/publications/year/2014/9789241506960_workbook_eng.pdf</w:t>
        </w:r>
      </w:hyperlink>
      <w:r w:rsidR="001E0D4A">
        <w:t xml:space="preserve"> </w:t>
      </w:r>
      <w:r w:rsidRPr="001E0D4A">
        <w:t>(Accessed: 22nd May 2017).</w:t>
      </w:r>
    </w:p>
    <w:p w14:paraId="40D5A291" w14:textId="5A1952DE" w:rsidR="00370EBE" w:rsidRPr="004B018C" w:rsidRDefault="00370EBE" w:rsidP="00466E1F">
      <w:pPr>
        <w:pStyle w:val="References"/>
      </w:pPr>
      <w:r>
        <w:t xml:space="preserve">Wulf, K. (1996) Training </w:t>
      </w:r>
      <w:r w:rsidR="00E263D2">
        <w:t>V</w:t>
      </w:r>
      <w:r>
        <w:t xml:space="preserve">ia the </w:t>
      </w:r>
      <w:r w:rsidR="00E263D2">
        <w:t>I</w:t>
      </w:r>
      <w:r>
        <w:t xml:space="preserve">nternet: </w:t>
      </w:r>
      <w:r w:rsidR="00E263D2">
        <w:t>W</w:t>
      </w:r>
      <w:r>
        <w:t xml:space="preserve">here </w:t>
      </w:r>
      <w:r w:rsidR="00E263D2">
        <w:t>Ar</w:t>
      </w:r>
      <w:r>
        <w:t xml:space="preserve">e </w:t>
      </w:r>
      <w:r w:rsidR="00E263D2">
        <w:t>W</w:t>
      </w:r>
      <w:r>
        <w:t xml:space="preserve">e?, </w:t>
      </w:r>
      <w:r w:rsidRPr="00370EBE">
        <w:rPr>
          <w:i/>
        </w:rPr>
        <w:t>Training and Development</w:t>
      </w:r>
      <w:r>
        <w:t>, 50(5), 50-55.</w:t>
      </w:r>
    </w:p>
    <w:p w14:paraId="179532F3" w14:textId="692B00AA" w:rsidR="00561D39" w:rsidRPr="00D2503C" w:rsidRDefault="00561D39" w:rsidP="00466E1F">
      <w:pPr>
        <w:pStyle w:val="References"/>
      </w:pPr>
      <w:r>
        <w:t xml:space="preserve">Zimmerman, D. W. (1995) Increasing the </w:t>
      </w:r>
      <w:r w:rsidR="00E263D2">
        <w:t>P</w:t>
      </w:r>
      <w:r>
        <w:t xml:space="preserve">ower of </w:t>
      </w:r>
      <w:r w:rsidR="00E263D2">
        <w:t>N</w:t>
      </w:r>
      <w:r>
        <w:t>on-</w:t>
      </w:r>
      <w:r w:rsidR="00E263D2">
        <w:t>P</w:t>
      </w:r>
      <w:r>
        <w:t xml:space="preserve">arametric </w:t>
      </w:r>
      <w:r w:rsidR="00E263D2">
        <w:t>T</w:t>
      </w:r>
      <w:r>
        <w:t xml:space="preserve">ests by </w:t>
      </w:r>
      <w:r w:rsidR="00E263D2">
        <w:t>D</w:t>
      </w:r>
      <w:r>
        <w:t xml:space="preserve">etecting and </w:t>
      </w:r>
      <w:r w:rsidR="00E263D2">
        <w:t>D</w:t>
      </w:r>
      <w:r>
        <w:t xml:space="preserve">ownweighting </w:t>
      </w:r>
      <w:r w:rsidR="00E263D2">
        <w:t>O</w:t>
      </w:r>
      <w:r>
        <w:t xml:space="preserve">utliers, </w:t>
      </w:r>
      <w:r w:rsidRPr="00864AA8">
        <w:rPr>
          <w:i/>
        </w:rPr>
        <w:t>The Journal of Experimental Education</w:t>
      </w:r>
      <w:r>
        <w:t>, 64 (1), 71-78.</w:t>
      </w:r>
    </w:p>
    <w:p w14:paraId="3E131FE7" w14:textId="77777777" w:rsidR="00796C9A" w:rsidRDefault="00796C9A"/>
    <w:sectPr w:rsidR="00796C9A" w:rsidSect="00E5429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A998C" w14:textId="77777777" w:rsidR="00440CC5" w:rsidRDefault="00440CC5" w:rsidP="006B2F0D">
      <w:pPr>
        <w:spacing w:line="240" w:lineRule="auto"/>
      </w:pPr>
      <w:r>
        <w:separator/>
      </w:r>
    </w:p>
  </w:endnote>
  <w:endnote w:type="continuationSeparator" w:id="0">
    <w:p w14:paraId="090E5BCF" w14:textId="77777777" w:rsidR="00440CC5" w:rsidRDefault="00440CC5" w:rsidP="006B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54400" w14:textId="1FA97948" w:rsidR="00DF7736" w:rsidRPr="00A03388" w:rsidRDefault="00DF7736" w:rsidP="00A03388">
    <w:pPr>
      <w:pStyle w:val="Footer"/>
      <w:jc w:val="center"/>
      <w:rPr>
        <w:caps/>
        <w:noProof/>
        <w:color w:val="000000" w:themeColor="text1"/>
        <w:sz w:val="18"/>
        <w:szCs w:val="18"/>
      </w:rPr>
    </w:pPr>
    <w:r w:rsidRPr="00A03388">
      <w:rPr>
        <w:caps/>
        <w:color w:val="000000" w:themeColor="text1"/>
        <w:sz w:val="18"/>
        <w:szCs w:val="18"/>
      </w:rPr>
      <w:t xml:space="preserve">Revised version / </w:t>
    </w:r>
    <w:r w:rsidRPr="00A03388">
      <w:rPr>
        <w:caps/>
        <w:color w:val="000000" w:themeColor="text1"/>
        <w:sz w:val="18"/>
        <w:szCs w:val="18"/>
      </w:rPr>
      <w:fldChar w:fldCharType="begin"/>
    </w:r>
    <w:r w:rsidRPr="00A03388">
      <w:rPr>
        <w:caps/>
        <w:color w:val="000000" w:themeColor="text1"/>
        <w:sz w:val="18"/>
        <w:szCs w:val="18"/>
      </w:rPr>
      <w:instrText xml:space="preserve"> PAGE   \* MERGEFORMAT </w:instrText>
    </w:r>
    <w:r w:rsidRPr="00A03388">
      <w:rPr>
        <w:caps/>
        <w:color w:val="000000" w:themeColor="text1"/>
        <w:sz w:val="18"/>
        <w:szCs w:val="18"/>
      </w:rPr>
      <w:fldChar w:fldCharType="separate"/>
    </w:r>
    <w:r w:rsidR="00681A7E">
      <w:rPr>
        <w:caps/>
        <w:noProof/>
        <w:color w:val="000000" w:themeColor="text1"/>
        <w:sz w:val="18"/>
        <w:szCs w:val="18"/>
      </w:rPr>
      <w:t>2</w:t>
    </w:r>
    <w:r w:rsidRPr="00A03388">
      <w:rPr>
        <w:caps/>
        <w:noProof/>
        <w:color w:val="000000" w:themeColor="text1"/>
        <w:sz w:val="18"/>
        <w:szCs w:val="18"/>
      </w:rPr>
      <w:fldChar w:fldCharType="end"/>
    </w:r>
  </w:p>
  <w:p w14:paraId="511E779F" w14:textId="77777777" w:rsidR="00DF7736" w:rsidRDefault="00DF7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4C72D" w14:textId="77777777" w:rsidR="00440CC5" w:rsidRDefault="00440CC5" w:rsidP="006B2F0D">
      <w:pPr>
        <w:spacing w:line="240" w:lineRule="auto"/>
      </w:pPr>
      <w:r>
        <w:separator/>
      </w:r>
    </w:p>
  </w:footnote>
  <w:footnote w:type="continuationSeparator" w:id="0">
    <w:p w14:paraId="03F7D73A" w14:textId="77777777" w:rsidR="00440CC5" w:rsidRDefault="00440CC5" w:rsidP="006B2F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92F77EC"/>
    <w:multiLevelType w:val="hybridMultilevel"/>
    <w:tmpl w:val="B94AF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251A43"/>
    <w:multiLevelType w:val="hybridMultilevel"/>
    <w:tmpl w:val="72EA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C3335B6"/>
    <w:multiLevelType w:val="hybridMultilevel"/>
    <w:tmpl w:val="9294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FD93851"/>
    <w:multiLevelType w:val="hybridMultilevel"/>
    <w:tmpl w:val="8304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D67219"/>
    <w:multiLevelType w:val="hybridMultilevel"/>
    <w:tmpl w:val="083A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C54C2"/>
    <w:multiLevelType w:val="hybridMultilevel"/>
    <w:tmpl w:val="A7FE2E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32460B6"/>
    <w:multiLevelType w:val="hybridMultilevel"/>
    <w:tmpl w:val="E1BE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451F25"/>
    <w:multiLevelType w:val="hybridMultilevel"/>
    <w:tmpl w:val="F134D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1422A3"/>
    <w:multiLevelType w:val="hybridMultilevel"/>
    <w:tmpl w:val="E6D2A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25"/>
  </w:num>
  <w:num w:numId="3">
    <w:abstractNumId w:val="23"/>
  </w:num>
  <w:num w:numId="4">
    <w:abstractNumId w:val="19"/>
  </w:num>
  <w:num w:numId="5">
    <w:abstractNumId w:val="17"/>
  </w:num>
  <w:num w:numId="6">
    <w:abstractNumId w:val="31"/>
  </w:num>
  <w:num w:numId="7">
    <w:abstractNumId w:val="12"/>
  </w:num>
  <w:num w:numId="8">
    <w:abstractNumId w:val="30"/>
  </w:num>
  <w:num w:numId="9">
    <w:abstractNumId w:val="16"/>
  </w:num>
  <w:num w:numId="10">
    <w:abstractNumId w:val="26"/>
  </w:num>
  <w:num w:numId="11">
    <w:abstractNumId w:val="1"/>
  </w:num>
  <w:num w:numId="12">
    <w:abstractNumId w:val="2"/>
  </w:num>
  <w:num w:numId="13">
    <w:abstractNumId w:val="3"/>
  </w:num>
  <w:num w:numId="14">
    <w:abstractNumId w:val="4"/>
  </w:num>
  <w:num w:numId="15">
    <w:abstractNumId w:val="9"/>
  </w:num>
  <w:num w:numId="16">
    <w:abstractNumId w:val="5"/>
  </w:num>
  <w:num w:numId="17">
    <w:abstractNumId w:val="7"/>
  </w:num>
  <w:num w:numId="18">
    <w:abstractNumId w:val="6"/>
  </w:num>
  <w:num w:numId="19">
    <w:abstractNumId w:val="10"/>
  </w:num>
  <w:num w:numId="20">
    <w:abstractNumId w:val="8"/>
  </w:num>
  <w:num w:numId="21">
    <w:abstractNumId w:val="20"/>
  </w:num>
  <w:num w:numId="22">
    <w:abstractNumId w:val="27"/>
  </w:num>
  <w:num w:numId="23">
    <w:abstractNumId w:val="15"/>
  </w:num>
  <w:num w:numId="24">
    <w:abstractNumId w:val="18"/>
  </w:num>
  <w:num w:numId="25">
    <w:abstractNumId w:val="11"/>
  </w:num>
  <w:num w:numId="26">
    <w:abstractNumId w:val="0"/>
  </w:num>
  <w:num w:numId="27">
    <w:abstractNumId w:val="13"/>
  </w:num>
  <w:num w:numId="28">
    <w:abstractNumId w:val="21"/>
  </w:num>
  <w:num w:numId="29">
    <w:abstractNumId w:val="28"/>
  </w:num>
  <w:num w:numId="30">
    <w:abstractNumId w:val="29"/>
  </w:num>
  <w:num w:numId="31">
    <w:abstractNumId w:val="14"/>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GB" w:vendorID="64" w:dllVersion="131078" w:nlCheck="1" w:checkStyle="1"/>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29"/>
    <w:rsid w:val="000035F9"/>
    <w:rsid w:val="00003E7B"/>
    <w:rsid w:val="00010977"/>
    <w:rsid w:val="0001716E"/>
    <w:rsid w:val="00020FA2"/>
    <w:rsid w:val="00023D91"/>
    <w:rsid w:val="0003196F"/>
    <w:rsid w:val="00032FEB"/>
    <w:rsid w:val="00035628"/>
    <w:rsid w:val="00064011"/>
    <w:rsid w:val="000663B9"/>
    <w:rsid w:val="00083B6F"/>
    <w:rsid w:val="000923D1"/>
    <w:rsid w:val="000A13F2"/>
    <w:rsid w:val="000A4D83"/>
    <w:rsid w:val="000A7E54"/>
    <w:rsid w:val="000B5856"/>
    <w:rsid w:val="000C0C1C"/>
    <w:rsid w:val="000C0D0B"/>
    <w:rsid w:val="000C4AB7"/>
    <w:rsid w:val="000C4DE1"/>
    <w:rsid w:val="000D5286"/>
    <w:rsid w:val="000E2383"/>
    <w:rsid w:val="000E418E"/>
    <w:rsid w:val="000E67C0"/>
    <w:rsid w:val="000F6FB7"/>
    <w:rsid w:val="0010074C"/>
    <w:rsid w:val="00124347"/>
    <w:rsid w:val="0013622B"/>
    <w:rsid w:val="00136AF0"/>
    <w:rsid w:val="0014129A"/>
    <w:rsid w:val="001509D1"/>
    <w:rsid w:val="00154B5D"/>
    <w:rsid w:val="00165202"/>
    <w:rsid w:val="00182AF7"/>
    <w:rsid w:val="00183FA5"/>
    <w:rsid w:val="00186C16"/>
    <w:rsid w:val="001A041A"/>
    <w:rsid w:val="001B26AD"/>
    <w:rsid w:val="001B45AD"/>
    <w:rsid w:val="001B6880"/>
    <w:rsid w:val="001C1F21"/>
    <w:rsid w:val="001C344B"/>
    <w:rsid w:val="001C4E09"/>
    <w:rsid w:val="001D1E49"/>
    <w:rsid w:val="001D3015"/>
    <w:rsid w:val="001D3A74"/>
    <w:rsid w:val="001D4A1D"/>
    <w:rsid w:val="001D6CCB"/>
    <w:rsid w:val="001E0D4A"/>
    <w:rsid w:val="001E482F"/>
    <w:rsid w:val="001F2960"/>
    <w:rsid w:val="00213296"/>
    <w:rsid w:val="00213E76"/>
    <w:rsid w:val="00217811"/>
    <w:rsid w:val="002310B5"/>
    <w:rsid w:val="002452B6"/>
    <w:rsid w:val="002509C7"/>
    <w:rsid w:val="0025697E"/>
    <w:rsid w:val="00256DD0"/>
    <w:rsid w:val="00272BD6"/>
    <w:rsid w:val="00284857"/>
    <w:rsid w:val="002865F6"/>
    <w:rsid w:val="002868DD"/>
    <w:rsid w:val="0029016A"/>
    <w:rsid w:val="00291945"/>
    <w:rsid w:val="00291967"/>
    <w:rsid w:val="002922E4"/>
    <w:rsid w:val="002A2999"/>
    <w:rsid w:val="002A4CB5"/>
    <w:rsid w:val="002B350B"/>
    <w:rsid w:val="002D18C2"/>
    <w:rsid w:val="002E394C"/>
    <w:rsid w:val="002F0AE4"/>
    <w:rsid w:val="002F1955"/>
    <w:rsid w:val="002F5539"/>
    <w:rsid w:val="002F780C"/>
    <w:rsid w:val="00302AA3"/>
    <w:rsid w:val="00304A5A"/>
    <w:rsid w:val="0032415C"/>
    <w:rsid w:val="00331605"/>
    <w:rsid w:val="0033316E"/>
    <w:rsid w:val="003354C1"/>
    <w:rsid w:val="003477FC"/>
    <w:rsid w:val="00355D3D"/>
    <w:rsid w:val="00363F45"/>
    <w:rsid w:val="0036421B"/>
    <w:rsid w:val="00365DC6"/>
    <w:rsid w:val="00370EBE"/>
    <w:rsid w:val="00371AAB"/>
    <w:rsid w:val="00387E6E"/>
    <w:rsid w:val="003956E6"/>
    <w:rsid w:val="00397F7A"/>
    <w:rsid w:val="003A4C8E"/>
    <w:rsid w:val="003B3970"/>
    <w:rsid w:val="003C03D2"/>
    <w:rsid w:val="003C1049"/>
    <w:rsid w:val="003C2F98"/>
    <w:rsid w:val="003C4CC4"/>
    <w:rsid w:val="003C6F0D"/>
    <w:rsid w:val="003D7E96"/>
    <w:rsid w:val="003E1EC2"/>
    <w:rsid w:val="003F0530"/>
    <w:rsid w:val="003F2DB9"/>
    <w:rsid w:val="003F2F8F"/>
    <w:rsid w:val="003F6CB4"/>
    <w:rsid w:val="0040443A"/>
    <w:rsid w:val="004239B7"/>
    <w:rsid w:val="00431BAB"/>
    <w:rsid w:val="00433057"/>
    <w:rsid w:val="00440CC5"/>
    <w:rsid w:val="0045077E"/>
    <w:rsid w:val="00462562"/>
    <w:rsid w:val="00462D31"/>
    <w:rsid w:val="00466E1F"/>
    <w:rsid w:val="00474D09"/>
    <w:rsid w:val="004B15A0"/>
    <w:rsid w:val="004B738F"/>
    <w:rsid w:val="004C0CD0"/>
    <w:rsid w:val="004C45B9"/>
    <w:rsid w:val="004C5F2F"/>
    <w:rsid w:val="004E1CB9"/>
    <w:rsid w:val="00512C4C"/>
    <w:rsid w:val="00514AFC"/>
    <w:rsid w:val="00517101"/>
    <w:rsid w:val="00533F75"/>
    <w:rsid w:val="00554B3C"/>
    <w:rsid w:val="00560DC9"/>
    <w:rsid w:val="00561D39"/>
    <w:rsid w:val="005624B5"/>
    <w:rsid w:val="0056710C"/>
    <w:rsid w:val="00570DAF"/>
    <w:rsid w:val="00574385"/>
    <w:rsid w:val="0058208A"/>
    <w:rsid w:val="00584897"/>
    <w:rsid w:val="005A0E21"/>
    <w:rsid w:val="005A4242"/>
    <w:rsid w:val="005A5EEC"/>
    <w:rsid w:val="005A6E8D"/>
    <w:rsid w:val="005B1C34"/>
    <w:rsid w:val="005B1D7E"/>
    <w:rsid w:val="005B3A3E"/>
    <w:rsid w:val="005B7E84"/>
    <w:rsid w:val="005C20DE"/>
    <w:rsid w:val="005D12C3"/>
    <w:rsid w:val="005D13E7"/>
    <w:rsid w:val="005D7026"/>
    <w:rsid w:val="005E016D"/>
    <w:rsid w:val="005E0EDB"/>
    <w:rsid w:val="005F338B"/>
    <w:rsid w:val="005F503B"/>
    <w:rsid w:val="00603C69"/>
    <w:rsid w:val="00612DF3"/>
    <w:rsid w:val="0061652E"/>
    <w:rsid w:val="0062049B"/>
    <w:rsid w:val="0063496E"/>
    <w:rsid w:val="00640659"/>
    <w:rsid w:val="00642FB4"/>
    <w:rsid w:val="006444B8"/>
    <w:rsid w:val="00650B82"/>
    <w:rsid w:val="00651999"/>
    <w:rsid w:val="00654189"/>
    <w:rsid w:val="00654B85"/>
    <w:rsid w:val="00664459"/>
    <w:rsid w:val="00667469"/>
    <w:rsid w:val="00671181"/>
    <w:rsid w:val="00671FAF"/>
    <w:rsid w:val="00677E67"/>
    <w:rsid w:val="00681A7E"/>
    <w:rsid w:val="00681C3F"/>
    <w:rsid w:val="00683262"/>
    <w:rsid w:val="00686BB5"/>
    <w:rsid w:val="006A0D9B"/>
    <w:rsid w:val="006A4844"/>
    <w:rsid w:val="006B137B"/>
    <w:rsid w:val="006B2F0D"/>
    <w:rsid w:val="006B4669"/>
    <w:rsid w:val="006C2244"/>
    <w:rsid w:val="006C2CF7"/>
    <w:rsid w:val="006C49A0"/>
    <w:rsid w:val="006C5AC6"/>
    <w:rsid w:val="006C5FDD"/>
    <w:rsid w:val="006D176C"/>
    <w:rsid w:val="006D2679"/>
    <w:rsid w:val="006E5732"/>
    <w:rsid w:val="006F376C"/>
    <w:rsid w:val="006F70C9"/>
    <w:rsid w:val="00707B64"/>
    <w:rsid w:val="007144D6"/>
    <w:rsid w:val="0072625F"/>
    <w:rsid w:val="00727417"/>
    <w:rsid w:val="0072784F"/>
    <w:rsid w:val="007305F3"/>
    <w:rsid w:val="00731ACE"/>
    <w:rsid w:val="00732DDB"/>
    <w:rsid w:val="007436AF"/>
    <w:rsid w:val="00754ABF"/>
    <w:rsid w:val="007626F3"/>
    <w:rsid w:val="00767288"/>
    <w:rsid w:val="00771248"/>
    <w:rsid w:val="00781CB5"/>
    <w:rsid w:val="0079467E"/>
    <w:rsid w:val="00796C9A"/>
    <w:rsid w:val="007A3149"/>
    <w:rsid w:val="007A479F"/>
    <w:rsid w:val="007A48AE"/>
    <w:rsid w:val="007B2CEE"/>
    <w:rsid w:val="007B6AC5"/>
    <w:rsid w:val="007C191F"/>
    <w:rsid w:val="007C32ED"/>
    <w:rsid w:val="007D0A9F"/>
    <w:rsid w:val="007D3415"/>
    <w:rsid w:val="007E0960"/>
    <w:rsid w:val="007E1D5D"/>
    <w:rsid w:val="007E663B"/>
    <w:rsid w:val="007F09B1"/>
    <w:rsid w:val="007F1CC7"/>
    <w:rsid w:val="007F1D92"/>
    <w:rsid w:val="007F2B9B"/>
    <w:rsid w:val="007F4D31"/>
    <w:rsid w:val="00801310"/>
    <w:rsid w:val="00807422"/>
    <w:rsid w:val="008265D2"/>
    <w:rsid w:val="008366B9"/>
    <w:rsid w:val="0084544E"/>
    <w:rsid w:val="00845B84"/>
    <w:rsid w:val="00863A93"/>
    <w:rsid w:val="008678BC"/>
    <w:rsid w:val="00880015"/>
    <w:rsid w:val="00887CCC"/>
    <w:rsid w:val="00887E4F"/>
    <w:rsid w:val="008904B1"/>
    <w:rsid w:val="008B250F"/>
    <w:rsid w:val="008C6E07"/>
    <w:rsid w:val="008D6F37"/>
    <w:rsid w:val="008F0ADA"/>
    <w:rsid w:val="008F192E"/>
    <w:rsid w:val="008F7B2F"/>
    <w:rsid w:val="00902DA8"/>
    <w:rsid w:val="009077F3"/>
    <w:rsid w:val="00922597"/>
    <w:rsid w:val="009305FA"/>
    <w:rsid w:val="009321B2"/>
    <w:rsid w:val="00935B0C"/>
    <w:rsid w:val="009364F5"/>
    <w:rsid w:val="009376EE"/>
    <w:rsid w:val="00937DB0"/>
    <w:rsid w:val="009473C2"/>
    <w:rsid w:val="0095156F"/>
    <w:rsid w:val="00962227"/>
    <w:rsid w:val="009631D0"/>
    <w:rsid w:val="00967007"/>
    <w:rsid w:val="00971F24"/>
    <w:rsid w:val="0097325E"/>
    <w:rsid w:val="009735B5"/>
    <w:rsid w:val="00984596"/>
    <w:rsid w:val="0099178A"/>
    <w:rsid w:val="009A03A3"/>
    <w:rsid w:val="009A0931"/>
    <w:rsid w:val="009A3253"/>
    <w:rsid w:val="009B1B40"/>
    <w:rsid w:val="009B593E"/>
    <w:rsid w:val="009C755D"/>
    <w:rsid w:val="009C7F5C"/>
    <w:rsid w:val="009D0E5B"/>
    <w:rsid w:val="009D1549"/>
    <w:rsid w:val="009D4700"/>
    <w:rsid w:val="009E0B36"/>
    <w:rsid w:val="009E4D36"/>
    <w:rsid w:val="009E6D2E"/>
    <w:rsid w:val="009E72B3"/>
    <w:rsid w:val="009F1FA8"/>
    <w:rsid w:val="009F7D73"/>
    <w:rsid w:val="00A03388"/>
    <w:rsid w:val="00A17BA1"/>
    <w:rsid w:val="00A22FCE"/>
    <w:rsid w:val="00A24C58"/>
    <w:rsid w:val="00A31C80"/>
    <w:rsid w:val="00A5413F"/>
    <w:rsid w:val="00A54B75"/>
    <w:rsid w:val="00A65478"/>
    <w:rsid w:val="00A65F8E"/>
    <w:rsid w:val="00A746B9"/>
    <w:rsid w:val="00A833FC"/>
    <w:rsid w:val="00A847E7"/>
    <w:rsid w:val="00A95F95"/>
    <w:rsid w:val="00AA609E"/>
    <w:rsid w:val="00AB68FD"/>
    <w:rsid w:val="00AC37FC"/>
    <w:rsid w:val="00AD0CFB"/>
    <w:rsid w:val="00AD358D"/>
    <w:rsid w:val="00AE5A7F"/>
    <w:rsid w:val="00AF55B3"/>
    <w:rsid w:val="00AF56ED"/>
    <w:rsid w:val="00B001C2"/>
    <w:rsid w:val="00B12D82"/>
    <w:rsid w:val="00B13BA0"/>
    <w:rsid w:val="00B14D4D"/>
    <w:rsid w:val="00B21915"/>
    <w:rsid w:val="00B2516E"/>
    <w:rsid w:val="00B26F1C"/>
    <w:rsid w:val="00B41990"/>
    <w:rsid w:val="00B446FE"/>
    <w:rsid w:val="00B534D4"/>
    <w:rsid w:val="00B53FFD"/>
    <w:rsid w:val="00B60298"/>
    <w:rsid w:val="00B72433"/>
    <w:rsid w:val="00B72762"/>
    <w:rsid w:val="00B7766C"/>
    <w:rsid w:val="00B81E99"/>
    <w:rsid w:val="00B834C0"/>
    <w:rsid w:val="00BA0A32"/>
    <w:rsid w:val="00BC3DFC"/>
    <w:rsid w:val="00BC606B"/>
    <w:rsid w:val="00BD72D8"/>
    <w:rsid w:val="00BD7D53"/>
    <w:rsid w:val="00C04341"/>
    <w:rsid w:val="00C166B0"/>
    <w:rsid w:val="00C20AC1"/>
    <w:rsid w:val="00C326B0"/>
    <w:rsid w:val="00C33DC3"/>
    <w:rsid w:val="00C41A20"/>
    <w:rsid w:val="00C47AB3"/>
    <w:rsid w:val="00C52C88"/>
    <w:rsid w:val="00C54A09"/>
    <w:rsid w:val="00C672CC"/>
    <w:rsid w:val="00C7201C"/>
    <w:rsid w:val="00C73E9C"/>
    <w:rsid w:val="00C74B79"/>
    <w:rsid w:val="00C76B52"/>
    <w:rsid w:val="00C83B43"/>
    <w:rsid w:val="00C90E29"/>
    <w:rsid w:val="00C92A0D"/>
    <w:rsid w:val="00CB5174"/>
    <w:rsid w:val="00CB55E8"/>
    <w:rsid w:val="00CC10E5"/>
    <w:rsid w:val="00CC435D"/>
    <w:rsid w:val="00CD75ED"/>
    <w:rsid w:val="00CE6D21"/>
    <w:rsid w:val="00CE7ED8"/>
    <w:rsid w:val="00CF1B1A"/>
    <w:rsid w:val="00CF1C50"/>
    <w:rsid w:val="00CF6ACF"/>
    <w:rsid w:val="00D05327"/>
    <w:rsid w:val="00D20FEF"/>
    <w:rsid w:val="00D2531F"/>
    <w:rsid w:val="00D452EA"/>
    <w:rsid w:val="00D46F4E"/>
    <w:rsid w:val="00D55791"/>
    <w:rsid w:val="00D60DA0"/>
    <w:rsid w:val="00D75610"/>
    <w:rsid w:val="00D8167E"/>
    <w:rsid w:val="00D84160"/>
    <w:rsid w:val="00D857BB"/>
    <w:rsid w:val="00D87D95"/>
    <w:rsid w:val="00D91530"/>
    <w:rsid w:val="00D92748"/>
    <w:rsid w:val="00D942F6"/>
    <w:rsid w:val="00DC0C73"/>
    <w:rsid w:val="00DC2082"/>
    <w:rsid w:val="00DD532E"/>
    <w:rsid w:val="00DF3E32"/>
    <w:rsid w:val="00DF727E"/>
    <w:rsid w:val="00DF7736"/>
    <w:rsid w:val="00E031EC"/>
    <w:rsid w:val="00E03BBE"/>
    <w:rsid w:val="00E04301"/>
    <w:rsid w:val="00E15629"/>
    <w:rsid w:val="00E1794A"/>
    <w:rsid w:val="00E17FD7"/>
    <w:rsid w:val="00E25253"/>
    <w:rsid w:val="00E263D2"/>
    <w:rsid w:val="00E367C5"/>
    <w:rsid w:val="00E5429A"/>
    <w:rsid w:val="00E54E7A"/>
    <w:rsid w:val="00E57FF5"/>
    <w:rsid w:val="00E60268"/>
    <w:rsid w:val="00E60B0F"/>
    <w:rsid w:val="00E632E6"/>
    <w:rsid w:val="00E66C88"/>
    <w:rsid w:val="00E84348"/>
    <w:rsid w:val="00E90EF3"/>
    <w:rsid w:val="00E9521F"/>
    <w:rsid w:val="00E969CC"/>
    <w:rsid w:val="00EA0409"/>
    <w:rsid w:val="00EB34F7"/>
    <w:rsid w:val="00EB67D3"/>
    <w:rsid w:val="00EC017D"/>
    <w:rsid w:val="00EC153E"/>
    <w:rsid w:val="00EC1704"/>
    <w:rsid w:val="00EC4C94"/>
    <w:rsid w:val="00EC762D"/>
    <w:rsid w:val="00ED32FA"/>
    <w:rsid w:val="00ED5983"/>
    <w:rsid w:val="00EE15E6"/>
    <w:rsid w:val="00EF16AF"/>
    <w:rsid w:val="00F06DA0"/>
    <w:rsid w:val="00F12536"/>
    <w:rsid w:val="00F12982"/>
    <w:rsid w:val="00F12AFA"/>
    <w:rsid w:val="00F13237"/>
    <w:rsid w:val="00F136B6"/>
    <w:rsid w:val="00F57F4D"/>
    <w:rsid w:val="00F66D4B"/>
    <w:rsid w:val="00F74F9F"/>
    <w:rsid w:val="00F7682C"/>
    <w:rsid w:val="00F87D1B"/>
    <w:rsid w:val="00F87E05"/>
    <w:rsid w:val="00F96655"/>
    <w:rsid w:val="00F9711E"/>
    <w:rsid w:val="00FA2FBB"/>
    <w:rsid w:val="00FA6A6C"/>
    <w:rsid w:val="00FB056A"/>
    <w:rsid w:val="00FB1433"/>
    <w:rsid w:val="00FB60D2"/>
    <w:rsid w:val="00FB7441"/>
    <w:rsid w:val="00FC2976"/>
    <w:rsid w:val="00FC34F0"/>
    <w:rsid w:val="00FE5257"/>
    <w:rsid w:val="00FE7E52"/>
    <w:rsid w:val="00FF575E"/>
  </w:rsids>
  <m:mathPr>
    <m:mathFont m:val="Cambria Math"/>
    <m:brkBin m:val="before"/>
    <m:brkBinSub m:val="--"/>
    <m:smallFrac m:val="0"/>
    <m:dispDef/>
    <m:lMargin m:val="0"/>
    <m:rMargin m:val="0"/>
    <m:defJc m:val="centerGroup"/>
    <m:wrapIndent m:val="1440"/>
    <m:intLim m:val="subSup"/>
    <m:naryLim m:val="undOvr"/>
  </m:mathPr>
  <w:themeFontLang w:val="en-GB"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s-ES_tradnl"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B5"/>
    <w:pPr>
      <w:spacing w:after="0" w:line="480" w:lineRule="auto"/>
    </w:pPr>
    <w:rPr>
      <w:rFonts w:ascii="Times New Roman"/>
      <w:sz w:val="24"/>
      <w:szCs w:val="24"/>
      <w:lang w:val="en-GB" w:eastAsia="en-GB"/>
    </w:rPr>
  </w:style>
  <w:style w:type="paragraph" w:styleId="Heading1">
    <w:name w:val="heading 1"/>
    <w:basedOn w:val="Normal"/>
    <w:next w:val="Paragraph"/>
    <w:link w:val="Heading1Char"/>
    <w:qFormat/>
    <w:rsid w:val="009735B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735B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735B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9735B5"/>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35B5"/>
    <w:rPr>
      <w:rFonts w:ascii="Times New Roman" w:cs="Arial"/>
      <w:b/>
      <w:bCs/>
      <w:i/>
      <w:iCs/>
      <w:sz w:val="24"/>
      <w:szCs w:val="28"/>
      <w:lang w:val="en-GB" w:eastAsia="en-GB"/>
    </w:rPr>
  </w:style>
  <w:style w:type="character" w:customStyle="1" w:styleId="Heading3Char">
    <w:name w:val="Heading 3 Char"/>
    <w:basedOn w:val="DefaultParagraphFont"/>
    <w:link w:val="Heading3"/>
    <w:rsid w:val="009735B5"/>
    <w:rPr>
      <w:rFonts w:ascii="Times New Roman" w:cs="Arial"/>
      <w:bCs/>
      <w:i/>
      <w:sz w:val="24"/>
      <w:szCs w:val="26"/>
      <w:lang w:val="en-GB" w:eastAsia="en-GB"/>
    </w:rPr>
  </w:style>
  <w:style w:type="paragraph" w:styleId="Subtitle">
    <w:name w:val="Subtitle"/>
    <w:basedOn w:val="Normal"/>
    <w:next w:val="Normal"/>
    <w:link w:val="SubtitleChar"/>
    <w:uiPriority w:val="11"/>
    <w:qFormat/>
    <w:rsid w:val="00E156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629"/>
    <w:rPr>
      <w:rFonts w:eastAsiaTheme="minorEastAsia" w:hAnsiTheme="minorHAnsi" w:cstheme="minorBidi"/>
      <w:color w:val="5A5A5A" w:themeColor="text1" w:themeTint="A5"/>
      <w:spacing w:val="15"/>
      <w:lang w:val="en-GB" w:eastAsia="en-US"/>
    </w:rPr>
  </w:style>
  <w:style w:type="paragraph" w:styleId="ListParagraph">
    <w:name w:val="List Paragraph"/>
    <w:basedOn w:val="Normal"/>
    <w:uiPriority w:val="34"/>
    <w:qFormat/>
    <w:rsid w:val="00E15629"/>
    <w:pPr>
      <w:ind w:left="720"/>
      <w:contextualSpacing/>
    </w:pPr>
  </w:style>
  <w:style w:type="table" w:styleId="TableGrid">
    <w:name w:val="Table Grid"/>
    <w:basedOn w:val="TableNormal"/>
    <w:uiPriority w:val="39"/>
    <w:rsid w:val="00E1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61D39"/>
    <w:rPr>
      <w:i/>
      <w:iCs/>
      <w:color w:val="404040" w:themeColor="text1" w:themeTint="BF"/>
    </w:rPr>
  </w:style>
  <w:style w:type="paragraph" w:styleId="NoSpacing">
    <w:name w:val="No Spacing"/>
    <w:uiPriority w:val="1"/>
    <w:qFormat/>
    <w:rsid w:val="00561D39"/>
    <w:pPr>
      <w:spacing w:after="0" w:line="240" w:lineRule="auto"/>
    </w:pPr>
    <w:rPr>
      <w:rFonts w:eastAsiaTheme="minorHAnsi" w:hAnsiTheme="minorHAnsi" w:cstheme="minorBidi"/>
      <w:lang w:val="en-GB" w:eastAsia="en-US"/>
    </w:rPr>
  </w:style>
  <w:style w:type="paragraph" w:styleId="NormalWeb">
    <w:name w:val="Normal (Web)"/>
    <w:basedOn w:val="Normal"/>
    <w:uiPriority w:val="99"/>
    <w:unhideWhenUsed/>
    <w:rsid w:val="00561D39"/>
    <w:pPr>
      <w:spacing w:before="100" w:beforeAutospacing="1" w:after="100" w:afterAutospacing="1" w:line="240" w:lineRule="auto"/>
    </w:pPr>
    <w:rPr>
      <w:lang w:val="en-US"/>
    </w:rPr>
  </w:style>
  <w:style w:type="character" w:styleId="Hyperlink">
    <w:name w:val="Hyperlink"/>
    <w:basedOn w:val="DefaultParagraphFont"/>
    <w:uiPriority w:val="99"/>
    <w:unhideWhenUsed/>
    <w:rsid w:val="00561D39"/>
    <w:rPr>
      <w:color w:val="0000FF"/>
      <w:u w:val="single"/>
    </w:rPr>
  </w:style>
  <w:style w:type="paragraph" w:styleId="Header">
    <w:name w:val="header"/>
    <w:basedOn w:val="Normal"/>
    <w:link w:val="HeaderChar"/>
    <w:rsid w:val="009735B5"/>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9735B5"/>
    <w:rPr>
      <w:rFonts w:ascii="Times New Roman"/>
      <w:sz w:val="24"/>
      <w:szCs w:val="24"/>
      <w:lang w:val="en-GB" w:eastAsia="en-GB"/>
    </w:rPr>
  </w:style>
  <w:style w:type="paragraph" w:styleId="Footer">
    <w:name w:val="footer"/>
    <w:basedOn w:val="Normal"/>
    <w:link w:val="FooterChar"/>
    <w:rsid w:val="009735B5"/>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9735B5"/>
    <w:rPr>
      <w:rFonts w:ascii="Times New Roman"/>
      <w:sz w:val="24"/>
      <w:szCs w:val="24"/>
      <w:lang w:val="en-GB" w:eastAsia="en-GB"/>
    </w:rPr>
  </w:style>
  <w:style w:type="paragraph" w:styleId="BalloonText">
    <w:name w:val="Balloon Text"/>
    <w:basedOn w:val="Normal"/>
    <w:link w:val="BalloonTextChar"/>
    <w:uiPriority w:val="99"/>
    <w:semiHidden/>
    <w:unhideWhenUsed/>
    <w:rsid w:val="007F4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31"/>
    <w:rPr>
      <w:rFonts w:ascii="Segoe UI" w:eastAsiaTheme="minorHAnsi" w:hAnsi="Segoe UI" w:cs="Segoe UI"/>
      <w:sz w:val="18"/>
      <w:szCs w:val="18"/>
      <w:lang w:val="en-GB" w:eastAsia="en-US"/>
    </w:rPr>
  </w:style>
  <w:style w:type="character" w:customStyle="1" w:styleId="UnresolvedMention1">
    <w:name w:val="Unresolved Mention1"/>
    <w:basedOn w:val="DefaultParagraphFont"/>
    <w:uiPriority w:val="99"/>
    <w:semiHidden/>
    <w:unhideWhenUsed/>
    <w:rsid w:val="00C52C88"/>
    <w:rPr>
      <w:color w:val="808080"/>
      <w:shd w:val="clear" w:color="auto" w:fill="E6E6E6"/>
    </w:rPr>
  </w:style>
  <w:style w:type="character" w:styleId="CommentReference">
    <w:name w:val="annotation reference"/>
    <w:basedOn w:val="DefaultParagraphFont"/>
    <w:uiPriority w:val="99"/>
    <w:semiHidden/>
    <w:unhideWhenUsed/>
    <w:rsid w:val="004C5F2F"/>
    <w:rPr>
      <w:sz w:val="16"/>
      <w:szCs w:val="16"/>
    </w:rPr>
  </w:style>
  <w:style w:type="paragraph" w:styleId="CommentText">
    <w:name w:val="annotation text"/>
    <w:basedOn w:val="Normal"/>
    <w:link w:val="CommentTextChar"/>
    <w:uiPriority w:val="99"/>
    <w:semiHidden/>
    <w:unhideWhenUsed/>
    <w:rsid w:val="004C5F2F"/>
    <w:pPr>
      <w:spacing w:line="240" w:lineRule="auto"/>
    </w:pPr>
    <w:rPr>
      <w:sz w:val="20"/>
      <w:szCs w:val="20"/>
    </w:rPr>
  </w:style>
  <w:style w:type="character" w:customStyle="1" w:styleId="CommentTextChar">
    <w:name w:val="Comment Text Char"/>
    <w:basedOn w:val="DefaultParagraphFont"/>
    <w:link w:val="CommentText"/>
    <w:uiPriority w:val="99"/>
    <w:semiHidden/>
    <w:rsid w:val="004C5F2F"/>
    <w:rPr>
      <w:rFonts w:eastAsia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4C5F2F"/>
    <w:rPr>
      <w:b/>
      <w:bCs/>
    </w:rPr>
  </w:style>
  <w:style w:type="character" w:customStyle="1" w:styleId="CommentSubjectChar">
    <w:name w:val="Comment Subject Char"/>
    <w:basedOn w:val="CommentTextChar"/>
    <w:link w:val="CommentSubject"/>
    <w:uiPriority w:val="99"/>
    <w:semiHidden/>
    <w:rsid w:val="004C5F2F"/>
    <w:rPr>
      <w:rFonts w:eastAsiaTheme="minorHAnsi" w:hAnsiTheme="minorHAnsi" w:cstheme="minorBidi"/>
      <w:b/>
      <w:bCs/>
      <w:sz w:val="20"/>
      <w:szCs w:val="20"/>
      <w:lang w:val="en-GB" w:eastAsia="en-US"/>
    </w:rPr>
  </w:style>
  <w:style w:type="paragraph" w:styleId="Revision">
    <w:name w:val="Revision"/>
    <w:hidden/>
    <w:uiPriority w:val="99"/>
    <w:semiHidden/>
    <w:rsid w:val="008678BC"/>
    <w:pPr>
      <w:spacing w:after="0" w:line="240" w:lineRule="auto"/>
    </w:pPr>
    <w:rPr>
      <w:rFonts w:eastAsiaTheme="minorHAnsi" w:hAnsiTheme="minorHAnsi" w:cstheme="minorBidi"/>
      <w:lang w:val="en-GB" w:eastAsia="en-US"/>
    </w:rPr>
  </w:style>
  <w:style w:type="character" w:customStyle="1" w:styleId="Heading1Char">
    <w:name w:val="Heading 1 Char"/>
    <w:basedOn w:val="DefaultParagraphFont"/>
    <w:link w:val="Heading1"/>
    <w:rsid w:val="009735B5"/>
    <w:rPr>
      <w:rFonts w:ascii="Times New Roman" w:cs="Arial"/>
      <w:b/>
      <w:bCs/>
      <w:kern w:val="32"/>
      <w:sz w:val="24"/>
      <w:szCs w:val="32"/>
      <w:lang w:val="en-GB" w:eastAsia="en-GB"/>
    </w:rPr>
  </w:style>
  <w:style w:type="character" w:customStyle="1" w:styleId="Heading4Char">
    <w:name w:val="Heading 4 Char"/>
    <w:basedOn w:val="DefaultParagraphFont"/>
    <w:link w:val="Heading4"/>
    <w:rsid w:val="009735B5"/>
    <w:rPr>
      <w:rFonts w:ascii="Times New Roman"/>
      <w:bCs/>
      <w:sz w:val="24"/>
      <w:szCs w:val="28"/>
      <w:lang w:val="en-GB" w:eastAsia="en-GB"/>
    </w:rPr>
  </w:style>
  <w:style w:type="character" w:customStyle="1" w:styleId="UnresolvedMention">
    <w:name w:val="Unresolved Mention"/>
    <w:basedOn w:val="DefaultParagraphFont"/>
    <w:uiPriority w:val="99"/>
    <w:semiHidden/>
    <w:unhideWhenUsed/>
    <w:rsid w:val="00F7682C"/>
    <w:rPr>
      <w:color w:val="808080"/>
      <w:shd w:val="clear" w:color="auto" w:fill="E6E6E6"/>
    </w:rPr>
  </w:style>
  <w:style w:type="paragraph" w:customStyle="1" w:styleId="Articletitle">
    <w:name w:val="Article title"/>
    <w:basedOn w:val="Normal"/>
    <w:next w:val="Normal"/>
    <w:qFormat/>
    <w:rsid w:val="009735B5"/>
    <w:pPr>
      <w:spacing w:after="120" w:line="360" w:lineRule="auto"/>
    </w:pPr>
    <w:rPr>
      <w:b/>
      <w:sz w:val="28"/>
    </w:rPr>
  </w:style>
  <w:style w:type="paragraph" w:customStyle="1" w:styleId="Authornames">
    <w:name w:val="Author names"/>
    <w:basedOn w:val="Normal"/>
    <w:next w:val="Normal"/>
    <w:qFormat/>
    <w:rsid w:val="009735B5"/>
    <w:pPr>
      <w:spacing w:before="240" w:line="360" w:lineRule="auto"/>
    </w:pPr>
    <w:rPr>
      <w:sz w:val="28"/>
    </w:rPr>
  </w:style>
  <w:style w:type="paragraph" w:customStyle="1" w:styleId="Affiliation">
    <w:name w:val="Affiliation"/>
    <w:basedOn w:val="Normal"/>
    <w:qFormat/>
    <w:rsid w:val="009735B5"/>
    <w:pPr>
      <w:spacing w:before="240" w:line="360" w:lineRule="auto"/>
    </w:pPr>
    <w:rPr>
      <w:i/>
    </w:rPr>
  </w:style>
  <w:style w:type="paragraph" w:customStyle="1" w:styleId="Receiveddates">
    <w:name w:val="Received dates"/>
    <w:basedOn w:val="Affiliation"/>
    <w:next w:val="Normal"/>
    <w:qFormat/>
    <w:rsid w:val="009735B5"/>
  </w:style>
  <w:style w:type="paragraph" w:customStyle="1" w:styleId="Abstract">
    <w:name w:val="Abstract"/>
    <w:basedOn w:val="Normal"/>
    <w:next w:val="Keywords"/>
    <w:qFormat/>
    <w:rsid w:val="009735B5"/>
    <w:pPr>
      <w:spacing w:before="360" w:after="300" w:line="360" w:lineRule="auto"/>
      <w:ind w:left="720" w:right="567"/>
    </w:pPr>
    <w:rPr>
      <w:sz w:val="22"/>
    </w:rPr>
  </w:style>
  <w:style w:type="paragraph" w:customStyle="1" w:styleId="Keywords">
    <w:name w:val="Keywords"/>
    <w:basedOn w:val="Normal"/>
    <w:next w:val="Paragraph"/>
    <w:qFormat/>
    <w:rsid w:val="009735B5"/>
    <w:pPr>
      <w:spacing w:before="240" w:after="240" w:line="360" w:lineRule="auto"/>
      <w:ind w:left="720" w:right="567"/>
    </w:pPr>
    <w:rPr>
      <w:sz w:val="22"/>
    </w:rPr>
  </w:style>
  <w:style w:type="paragraph" w:customStyle="1" w:styleId="Correspondencedetails">
    <w:name w:val="Correspondence details"/>
    <w:basedOn w:val="Normal"/>
    <w:qFormat/>
    <w:rsid w:val="009735B5"/>
    <w:pPr>
      <w:spacing w:before="240" w:line="360" w:lineRule="auto"/>
    </w:pPr>
  </w:style>
  <w:style w:type="paragraph" w:customStyle="1" w:styleId="Displayedquotation">
    <w:name w:val="Displayed quotation"/>
    <w:basedOn w:val="Normal"/>
    <w:qFormat/>
    <w:rsid w:val="009735B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735B5"/>
    <w:pPr>
      <w:widowControl/>
      <w:numPr>
        <w:numId w:val="21"/>
      </w:numPr>
      <w:spacing w:after="240"/>
      <w:contextualSpacing/>
    </w:pPr>
  </w:style>
  <w:style w:type="paragraph" w:customStyle="1" w:styleId="Displayedequation">
    <w:name w:val="Displayed equation"/>
    <w:basedOn w:val="Normal"/>
    <w:next w:val="Paragraph"/>
    <w:qFormat/>
    <w:rsid w:val="009735B5"/>
    <w:pPr>
      <w:tabs>
        <w:tab w:val="center" w:pos="4253"/>
        <w:tab w:val="right" w:pos="8222"/>
      </w:tabs>
      <w:spacing w:before="240" w:after="240"/>
      <w:jc w:val="center"/>
    </w:pPr>
  </w:style>
  <w:style w:type="paragraph" w:customStyle="1" w:styleId="Acknowledgements">
    <w:name w:val="Acknowledgements"/>
    <w:basedOn w:val="Normal"/>
    <w:next w:val="Normal"/>
    <w:qFormat/>
    <w:rsid w:val="009735B5"/>
    <w:pPr>
      <w:spacing w:before="120" w:line="360" w:lineRule="auto"/>
    </w:pPr>
    <w:rPr>
      <w:sz w:val="22"/>
    </w:rPr>
  </w:style>
  <w:style w:type="paragraph" w:customStyle="1" w:styleId="Tabletitle">
    <w:name w:val="Table title"/>
    <w:basedOn w:val="Normal"/>
    <w:next w:val="Normal"/>
    <w:qFormat/>
    <w:rsid w:val="009735B5"/>
    <w:pPr>
      <w:spacing w:before="240" w:line="360" w:lineRule="auto"/>
    </w:pPr>
  </w:style>
  <w:style w:type="paragraph" w:customStyle="1" w:styleId="Figurecaption">
    <w:name w:val="Figure caption"/>
    <w:basedOn w:val="Normal"/>
    <w:next w:val="Normal"/>
    <w:qFormat/>
    <w:rsid w:val="009735B5"/>
    <w:pPr>
      <w:spacing w:before="240" w:line="360" w:lineRule="auto"/>
    </w:pPr>
  </w:style>
  <w:style w:type="paragraph" w:customStyle="1" w:styleId="Footnotes">
    <w:name w:val="Footnotes"/>
    <w:basedOn w:val="Normal"/>
    <w:qFormat/>
    <w:rsid w:val="009735B5"/>
    <w:pPr>
      <w:spacing w:before="120" w:line="360" w:lineRule="auto"/>
      <w:ind w:left="482" w:hanging="482"/>
      <w:contextualSpacing/>
    </w:pPr>
    <w:rPr>
      <w:sz w:val="22"/>
    </w:rPr>
  </w:style>
  <w:style w:type="paragraph" w:customStyle="1" w:styleId="Notesoncontributors">
    <w:name w:val="Notes on contributors"/>
    <w:basedOn w:val="Normal"/>
    <w:qFormat/>
    <w:rsid w:val="009735B5"/>
    <w:pPr>
      <w:spacing w:before="240" w:line="360" w:lineRule="auto"/>
    </w:pPr>
    <w:rPr>
      <w:sz w:val="22"/>
    </w:rPr>
  </w:style>
  <w:style w:type="paragraph" w:customStyle="1" w:styleId="Normalparagraphstyle">
    <w:name w:val="Normal paragraph style"/>
    <w:basedOn w:val="Normal"/>
    <w:next w:val="Normal"/>
    <w:rsid w:val="009735B5"/>
  </w:style>
  <w:style w:type="paragraph" w:customStyle="1" w:styleId="Paragraph">
    <w:name w:val="Paragraph"/>
    <w:basedOn w:val="Normal"/>
    <w:next w:val="Newparagraph"/>
    <w:qFormat/>
    <w:rsid w:val="009735B5"/>
    <w:pPr>
      <w:widowControl w:val="0"/>
      <w:spacing w:before="240"/>
    </w:pPr>
  </w:style>
  <w:style w:type="paragraph" w:customStyle="1" w:styleId="Newparagraph">
    <w:name w:val="New paragraph"/>
    <w:basedOn w:val="Normal"/>
    <w:qFormat/>
    <w:rsid w:val="009735B5"/>
    <w:pPr>
      <w:ind w:firstLine="720"/>
    </w:pPr>
  </w:style>
  <w:style w:type="paragraph" w:styleId="NormalIndent">
    <w:name w:val="Normal Indent"/>
    <w:basedOn w:val="Normal"/>
    <w:rsid w:val="009735B5"/>
    <w:pPr>
      <w:ind w:left="720"/>
    </w:pPr>
  </w:style>
  <w:style w:type="paragraph" w:customStyle="1" w:styleId="References">
    <w:name w:val="References"/>
    <w:basedOn w:val="Normal"/>
    <w:qFormat/>
    <w:rsid w:val="009735B5"/>
    <w:pPr>
      <w:spacing w:before="120" w:line="360" w:lineRule="auto"/>
      <w:ind w:left="720" w:hanging="720"/>
      <w:contextualSpacing/>
    </w:pPr>
  </w:style>
  <w:style w:type="paragraph" w:customStyle="1" w:styleId="Subjectcodes">
    <w:name w:val="Subject codes"/>
    <w:basedOn w:val="Keywords"/>
    <w:next w:val="Paragraph"/>
    <w:qFormat/>
    <w:rsid w:val="009735B5"/>
  </w:style>
  <w:style w:type="paragraph" w:customStyle="1" w:styleId="Bulletedlist">
    <w:name w:val="Bulleted list"/>
    <w:basedOn w:val="Paragraph"/>
    <w:next w:val="Paragraph"/>
    <w:qFormat/>
    <w:rsid w:val="009735B5"/>
    <w:pPr>
      <w:widowControl/>
      <w:numPr>
        <w:numId w:val="22"/>
      </w:numPr>
      <w:spacing w:after="240"/>
      <w:contextualSpacing/>
    </w:pPr>
  </w:style>
  <w:style w:type="paragraph" w:styleId="FootnoteText">
    <w:name w:val="footnote text"/>
    <w:basedOn w:val="Normal"/>
    <w:link w:val="FootnoteTextChar"/>
    <w:autoRedefine/>
    <w:rsid w:val="009735B5"/>
    <w:pPr>
      <w:ind w:left="284" w:hanging="284"/>
    </w:pPr>
    <w:rPr>
      <w:sz w:val="22"/>
      <w:szCs w:val="20"/>
    </w:rPr>
  </w:style>
  <w:style w:type="character" w:customStyle="1" w:styleId="FootnoteTextChar">
    <w:name w:val="Footnote Text Char"/>
    <w:basedOn w:val="DefaultParagraphFont"/>
    <w:link w:val="FootnoteText"/>
    <w:rsid w:val="009735B5"/>
    <w:rPr>
      <w:rFonts w:ascii="Times New Roman"/>
      <w:szCs w:val="20"/>
      <w:lang w:val="en-GB" w:eastAsia="en-GB"/>
    </w:rPr>
  </w:style>
  <w:style w:type="character" w:styleId="FootnoteReference">
    <w:name w:val="footnote reference"/>
    <w:basedOn w:val="DefaultParagraphFont"/>
    <w:rsid w:val="009735B5"/>
    <w:rPr>
      <w:vertAlign w:val="superscript"/>
    </w:rPr>
  </w:style>
  <w:style w:type="paragraph" w:styleId="EndnoteText">
    <w:name w:val="endnote text"/>
    <w:basedOn w:val="Normal"/>
    <w:link w:val="EndnoteTextChar"/>
    <w:autoRedefine/>
    <w:rsid w:val="009735B5"/>
    <w:pPr>
      <w:ind w:left="284" w:hanging="284"/>
    </w:pPr>
    <w:rPr>
      <w:sz w:val="22"/>
      <w:szCs w:val="20"/>
    </w:rPr>
  </w:style>
  <w:style w:type="character" w:customStyle="1" w:styleId="EndnoteTextChar">
    <w:name w:val="Endnote Text Char"/>
    <w:basedOn w:val="DefaultParagraphFont"/>
    <w:link w:val="EndnoteText"/>
    <w:rsid w:val="009735B5"/>
    <w:rPr>
      <w:rFonts w:ascii="Times New Roman"/>
      <w:szCs w:val="20"/>
      <w:lang w:val="en-GB" w:eastAsia="en-GB"/>
    </w:rPr>
  </w:style>
  <w:style w:type="character" w:styleId="EndnoteReference">
    <w:name w:val="endnote reference"/>
    <w:basedOn w:val="DefaultParagraphFont"/>
    <w:rsid w:val="009735B5"/>
    <w:rPr>
      <w:vertAlign w:val="superscript"/>
    </w:rPr>
  </w:style>
  <w:style w:type="paragraph" w:customStyle="1" w:styleId="Heading4Paragraph">
    <w:name w:val="Heading 4 + Paragraph"/>
    <w:basedOn w:val="Paragraph"/>
    <w:next w:val="Newparagraph"/>
    <w:qFormat/>
    <w:rsid w:val="009735B5"/>
    <w:pPr>
      <w:widowControl/>
      <w:spacing w:before="360"/>
    </w:pPr>
  </w:style>
  <w:style w:type="character" w:styleId="PlaceholderText">
    <w:name w:val="Placeholder Text"/>
    <w:basedOn w:val="DefaultParagraphFont"/>
    <w:uiPriority w:val="99"/>
    <w:semiHidden/>
    <w:rsid w:val="00CB55E8"/>
    <w:rPr>
      <w:color w:val="808080"/>
    </w:rPr>
  </w:style>
  <w:style w:type="character" w:customStyle="1" w:styleId="ff2">
    <w:name w:val="ff2"/>
    <w:basedOn w:val="DefaultParagraphFont"/>
    <w:rsid w:val="00A03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s-ES_tradnl"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B5"/>
    <w:pPr>
      <w:spacing w:after="0" w:line="480" w:lineRule="auto"/>
    </w:pPr>
    <w:rPr>
      <w:rFonts w:ascii="Times New Roman"/>
      <w:sz w:val="24"/>
      <w:szCs w:val="24"/>
      <w:lang w:val="en-GB" w:eastAsia="en-GB"/>
    </w:rPr>
  </w:style>
  <w:style w:type="paragraph" w:styleId="Heading1">
    <w:name w:val="heading 1"/>
    <w:basedOn w:val="Normal"/>
    <w:next w:val="Paragraph"/>
    <w:link w:val="Heading1Char"/>
    <w:qFormat/>
    <w:rsid w:val="009735B5"/>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9735B5"/>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9735B5"/>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9735B5"/>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35B5"/>
    <w:rPr>
      <w:rFonts w:ascii="Times New Roman" w:cs="Arial"/>
      <w:b/>
      <w:bCs/>
      <w:i/>
      <w:iCs/>
      <w:sz w:val="24"/>
      <w:szCs w:val="28"/>
      <w:lang w:val="en-GB" w:eastAsia="en-GB"/>
    </w:rPr>
  </w:style>
  <w:style w:type="character" w:customStyle="1" w:styleId="Heading3Char">
    <w:name w:val="Heading 3 Char"/>
    <w:basedOn w:val="DefaultParagraphFont"/>
    <w:link w:val="Heading3"/>
    <w:rsid w:val="009735B5"/>
    <w:rPr>
      <w:rFonts w:ascii="Times New Roman" w:cs="Arial"/>
      <w:bCs/>
      <w:i/>
      <w:sz w:val="24"/>
      <w:szCs w:val="26"/>
      <w:lang w:val="en-GB" w:eastAsia="en-GB"/>
    </w:rPr>
  </w:style>
  <w:style w:type="paragraph" w:styleId="Subtitle">
    <w:name w:val="Subtitle"/>
    <w:basedOn w:val="Normal"/>
    <w:next w:val="Normal"/>
    <w:link w:val="SubtitleChar"/>
    <w:uiPriority w:val="11"/>
    <w:qFormat/>
    <w:rsid w:val="00E156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5629"/>
    <w:rPr>
      <w:rFonts w:eastAsiaTheme="minorEastAsia" w:hAnsiTheme="minorHAnsi" w:cstheme="minorBidi"/>
      <w:color w:val="5A5A5A" w:themeColor="text1" w:themeTint="A5"/>
      <w:spacing w:val="15"/>
      <w:lang w:val="en-GB" w:eastAsia="en-US"/>
    </w:rPr>
  </w:style>
  <w:style w:type="paragraph" w:styleId="ListParagraph">
    <w:name w:val="List Paragraph"/>
    <w:basedOn w:val="Normal"/>
    <w:uiPriority w:val="34"/>
    <w:qFormat/>
    <w:rsid w:val="00E15629"/>
    <w:pPr>
      <w:ind w:left="720"/>
      <w:contextualSpacing/>
    </w:pPr>
  </w:style>
  <w:style w:type="table" w:styleId="TableGrid">
    <w:name w:val="Table Grid"/>
    <w:basedOn w:val="TableNormal"/>
    <w:uiPriority w:val="39"/>
    <w:rsid w:val="00E1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61D39"/>
    <w:rPr>
      <w:i/>
      <w:iCs/>
      <w:color w:val="404040" w:themeColor="text1" w:themeTint="BF"/>
    </w:rPr>
  </w:style>
  <w:style w:type="paragraph" w:styleId="NoSpacing">
    <w:name w:val="No Spacing"/>
    <w:uiPriority w:val="1"/>
    <w:qFormat/>
    <w:rsid w:val="00561D39"/>
    <w:pPr>
      <w:spacing w:after="0" w:line="240" w:lineRule="auto"/>
    </w:pPr>
    <w:rPr>
      <w:rFonts w:eastAsiaTheme="minorHAnsi" w:hAnsiTheme="minorHAnsi" w:cstheme="minorBidi"/>
      <w:lang w:val="en-GB" w:eastAsia="en-US"/>
    </w:rPr>
  </w:style>
  <w:style w:type="paragraph" w:styleId="NormalWeb">
    <w:name w:val="Normal (Web)"/>
    <w:basedOn w:val="Normal"/>
    <w:uiPriority w:val="99"/>
    <w:unhideWhenUsed/>
    <w:rsid w:val="00561D39"/>
    <w:pPr>
      <w:spacing w:before="100" w:beforeAutospacing="1" w:after="100" w:afterAutospacing="1" w:line="240" w:lineRule="auto"/>
    </w:pPr>
    <w:rPr>
      <w:lang w:val="en-US"/>
    </w:rPr>
  </w:style>
  <w:style w:type="character" w:styleId="Hyperlink">
    <w:name w:val="Hyperlink"/>
    <w:basedOn w:val="DefaultParagraphFont"/>
    <w:uiPriority w:val="99"/>
    <w:unhideWhenUsed/>
    <w:rsid w:val="00561D39"/>
    <w:rPr>
      <w:color w:val="0000FF"/>
      <w:u w:val="single"/>
    </w:rPr>
  </w:style>
  <w:style w:type="paragraph" w:styleId="Header">
    <w:name w:val="header"/>
    <w:basedOn w:val="Normal"/>
    <w:link w:val="HeaderChar"/>
    <w:rsid w:val="009735B5"/>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9735B5"/>
    <w:rPr>
      <w:rFonts w:ascii="Times New Roman"/>
      <w:sz w:val="24"/>
      <w:szCs w:val="24"/>
      <w:lang w:val="en-GB" w:eastAsia="en-GB"/>
    </w:rPr>
  </w:style>
  <w:style w:type="paragraph" w:styleId="Footer">
    <w:name w:val="footer"/>
    <w:basedOn w:val="Normal"/>
    <w:link w:val="FooterChar"/>
    <w:rsid w:val="009735B5"/>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9735B5"/>
    <w:rPr>
      <w:rFonts w:ascii="Times New Roman"/>
      <w:sz w:val="24"/>
      <w:szCs w:val="24"/>
      <w:lang w:val="en-GB" w:eastAsia="en-GB"/>
    </w:rPr>
  </w:style>
  <w:style w:type="paragraph" w:styleId="BalloonText">
    <w:name w:val="Balloon Text"/>
    <w:basedOn w:val="Normal"/>
    <w:link w:val="BalloonTextChar"/>
    <w:uiPriority w:val="99"/>
    <w:semiHidden/>
    <w:unhideWhenUsed/>
    <w:rsid w:val="007F4D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31"/>
    <w:rPr>
      <w:rFonts w:ascii="Segoe UI" w:eastAsiaTheme="minorHAnsi" w:hAnsi="Segoe UI" w:cs="Segoe UI"/>
      <w:sz w:val="18"/>
      <w:szCs w:val="18"/>
      <w:lang w:val="en-GB" w:eastAsia="en-US"/>
    </w:rPr>
  </w:style>
  <w:style w:type="character" w:customStyle="1" w:styleId="UnresolvedMention1">
    <w:name w:val="Unresolved Mention1"/>
    <w:basedOn w:val="DefaultParagraphFont"/>
    <w:uiPriority w:val="99"/>
    <w:semiHidden/>
    <w:unhideWhenUsed/>
    <w:rsid w:val="00C52C88"/>
    <w:rPr>
      <w:color w:val="808080"/>
      <w:shd w:val="clear" w:color="auto" w:fill="E6E6E6"/>
    </w:rPr>
  </w:style>
  <w:style w:type="character" w:styleId="CommentReference">
    <w:name w:val="annotation reference"/>
    <w:basedOn w:val="DefaultParagraphFont"/>
    <w:uiPriority w:val="99"/>
    <w:semiHidden/>
    <w:unhideWhenUsed/>
    <w:rsid w:val="004C5F2F"/>
    <w:rPr>
      <w:sz w:val="16"/>
      <w:szCs w:val="16"/>
    </w:rPr>
  </w:style>
  <w:style w:type="paragraph" w:styleId="CommentText">
    <w:name w:val="annotation text"/>
    <w:basedOn w:val="Normal"/>
    <w:link w:val="CommentTextChar"/>
    <w:uiPriority w:val="99"/>
    <w:semiHidden/>
    <w:unhideWhenUsed/>
    <w:rsid w:val="004C5F2F"/>
    <w:pPr>
      <w:spacing w:line="240" w:lineRule="auto"/>
    </w:pPr>
    <w:rPr>
      <w:sz w:val="20"/>
      <w:szCs w:val="20"/>
    </w:rPr>
  </w:style>
  <w:style w:type="character" w:customStyle="1" w:styleId="CommentTextChar">
    <w:name w:val="Comment Text Char"/>
    <w:basedOn w:val="DefaultParagraphFont"/>
    <w:link w:val="CommentText"/>
    <w:uiPriority w:val="99"/>
    <w:semiHidden/>
    <w:rsid w:val="004C5F2F"/>
    <w:rPr>
      <w:rFonts w:eastAsia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4C5F2F"/>
    <w:rPr>
      <w:b/>
      <w:bCs/>
    </w:rPr>
  </w:style>
  <w:style w:type="character" w:customStyle="1" w:styleId="CommentSubjectChar">
    <w:name w:val="Comment Subject Char"/>
    <w:basedOn w:val="CommentTextChar"/>
    <w:link w:val="CommentSubject"/>
    <w:uiPriority w:val="99"/>
    <w:semiHidden/>
    <w:rsid w:val="004C5F2F"/>
    <w:rPr>
      <w:rFonts w:eastAsiaTheme="minorHAnsi" w:hAnsiTheme="minorHAnsi" w:cstheme="minorBidi"/>
      <w:b/>
      <w:bCs/>
      <w:sz w:val="20"/>
      <w:szCs w:val="20"/>
      <w:lang w:val="en-GB" w:eastAsia="en-US"/>
    </w:rPr>
  </w:style>
  <w:style w:type="paragraph" w:styleId="Revision">
    <w:name w:val="Revision"/>
    <w:hidden/>
    <w:uiPriority w:val="99"/>
    <w:semiHidden/>
    <w:rsid w:val="008678BC"/>
    <w:pPr>
      <w:spacing w:after="0" w:line="240" w:lineRule="auto"/>
    </w:pPr>
    <w:rPr>
      <w:rFonts w:eastAsiaTheme="minorHAnsi" w:hAnsiTheme="minorHAnsi" w:cstheme="minorBidi"/>
      <w:lang w:val="en-GB" w:eastAsia="en-US"/>
    </w:rPr>
  </w:style>
  <w:style w:type="character" w:customStyle="1" w:styleId="Heading1Char">
    <w:name w:val="Heading 1 Char"/>
    <w:basedOn w:val="DefaultParagraphFont"/>
    <w:link w:val="Heading1"/>
    <w:rsid w:val="009735B5"/>
    <w:rPr>
      <w:rFonts w:ascii="Times New Roman" w:cs="Arial"/>
      <w:b/>
      <w:bCs/>
      <w:kern w:val="32"/>
      <w:sz w:val="24"/>
      <w:szCs w:val="32"/>
      <w:lang w:val="en-GB" w:eastAsia="en-GB"/>
    </w:rPr>
  </w:style>
  <w:style w:type="character" w:customStyle="1" w:styleId="Heading4Char">
    <w:name w:val="Heading 4 Char"/>
    <w:basedOn w:val="DefaultParagraphFont"/>
    <w:link w:val="Heading4"/>
    <w:rsid w:val="009735B5"/>
    <w:rPr>
      <w:rFonts w:ascii="Times New Roman"/>
      <w:bCs/>
      <w:sz w:val="24"/>
      <w:szCs w:val="28"/>
      <w:lang w:val="en-GB" w:eastAsia="en-GB"/>
    </w:rPr>
  </w:style>
  <w:style w:type="character" w:customStyle="1" w:styleId="UnresolvedMention">
    <w:name w:val="Unresolved Mention"/>
    <w:basedOn w:val="DefaultParagraphFont"/>
    <w:uiPriority w:val="99"/>
    <w:semiHidden/>
    <w:unhideWhenUsed/>
    <w:rsid w:val="00F7682C"/>
    <w:rPr>
      <w:color w:val="808080"/>
      <w:shd w:val="clear" w:color="auto" w:fill="E6E6E6"/>
    </w:rPr>
  </w:style>
  <w:style w:type="paragraph" w:customStyle="1" w:styleId="Articletitle">
    <w:name w:val="Article title"/>
    <w:basedOn w:val="Normal"/>
    <w:next w:val="Normal"/>
    <w:qFormat/>
    <w:rsid w:val="009735B5"/>
    <w:pPr>
      <w:spacing w:after="120" w:line="360" w:lineRule="auto"/>
    </w:pPr>
    <w:rPr>
      <w:b/>
      <w:sz w:val="28"/>
    </w:rPr>
  </w:style>
  <w:style w:type="paragraph" w:customStyle="1" w:styleId="Authornames">
    <w:name w:val="Author names"/>
    <w:basedOn w:val="Normal"/>
    <w:next w:val="Normal"/>
    <w:qFormat/>
    <w:rsid w:val="009735B5"/>
    <w:pPr>
      <w:spacing w:before="240" w:line="360" w:lineRule="auto"/>
    </w:pPr>
    <w:rPr>
      <w:sz w:val="28"/>
    </w:rPr>
  </w:style>
  <w:style w:type="paragraph" w:customStyle="1" w:styleId="Affiliation">
    <w:name w:val="Affiliation"/>
    <w:basedOn w:val="Normal"/>
    <w:qFormat/>
    <w:rsid w:val="009735B5"/>
    <w:pPr>
      <w:spacing w:before="240" w:line="360" w:lineRule="auto"/>
    </w:pPr>
    <w:rPr>
      <w:i/>
    </w:rPr>
  </w:style>
  <w:style w:type="paragraph" w:customStyle="1" w:styleId="Receiveddates">
    <w:name w:val="Received dates"/>
    <w:basedOn w:val="Affiliation"/>
    <w:next w:val="Normal"/>
    <w:qFormat/>
    <w:rsid w:val="009735B5"/>
  </w:style>
  <w:style w:type="paragraph" w:customStyle="1" w:styleId="Abstract">
    <w:name w:val="Abstract"/>
    <w:basedOn w:val="Normal"/>
    <w:next w:val="Keywords"/>
    <w:qFormat/>
    <w:rsid w:val="009735B5"/>
    <w:pPr>
      <w:spacing w:before="360" w:after="300" w:line="360" w:lineRule="auto"/>
      <w:ind w:left="720" w:right="567"/>
    </w:pPr>
    <w:rPr>
      <w:sz w:val="22"/>
    </w:rPr>
  </w:style>
  <w:style w:type="paragraph" w:customStyle="1" w:styleId="Keywords">
    <w:name w:val="Keywords"/>
    <w:basedOn w:val="Normal"/>
    <w:next w:val="Paragraph"/>
    <w:qFormat/>
    <w:rsid w:val="009735B5"/>
    <w:pPr>
      <w:spacing w:before="240" w:after="240" w:line="360" w:lineRule="auto"/>
      <w:ind w:left="720" w:right="567"/>
    </w:pPr>
    <w:rPr>
      <w:sz w:val="22"/>
    </w:rPr>
  </w:style>
  <w:style w:type="paragraph" w:customStyle="1" w:styleId="Correspondencedetails">
    <w:name w:val="Correspondence details"/>
    <w:basedOn w:val="Normal"/>
    <w:qFormat/>
    <w:rsid w:val="009735B5"/>
    <w:pPr>
      <w:spacing w:before="240" w:line="360" w:lineRule="auto"/>
    </w:pPr>
  </w:style>
  <w:style w:type="paragraph" w:customStyle="1" w:styleId="Displayedquotation">
    <w:name w:val="Displayed quotation"/>
    <w:basedOn w:val="Normal"/>
    <w:qFormat/>
    <w:rsid w:val="009735B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9735B5"/>
    <w:pPr>
      <w:widowControl/>
      <w:numPr>
        <w:numId w:val="21"/>
      </w:numPr>
      <w:spacing w:after="240"/>
      <w:contextualSpacing/>
    </w:pPr>
  </w:style>
  <w:style w:type="paragraph" w:customStyle="1" w:styleId="Displayedequation">
    <w:name w:val="Displayed equation"/>
    <w:basedOn w:val="Normal"/>
    <w:next w:val="Paragraph"/>
    <w:qFormat/>
    <w:rsid w:val="009735B5"/>
    <w:pPr>
      <w:tabs>
        <w:tab w:val="center" w:pos="4253"/>
        <w:tab w:val="right" w:pos="8222"/>
      </w:tabs>
      <w:spacing w:before="240" w:after="240"/>
      <w:jc w:val="center"/>
    </w:pPr>
  </w:style>
  <w:style w:type="paragraph" w:customStyle="1" w:styleId="Acknowledgements">
    <w:name w:val="Acknowledgements"/>
    <w:basedOn w:val="Normal"/>
    <w:next w:val="Normal"/>
    <w:qFormat/>
    <w:rsid w:val="009735B5"/>
    <w:pPr>
      <w:spacing w:before="120" w:line="360" w:lineRule="auto"/>
    </w:pPr>
    <w:rPr>
      <w:sz w:val="22"/>
    </w:rPr>
  </w:style>
  <w:style w:type="paragraph" w:customStyle="1" w:styleId="Tabletitle">
    <w:name w:val="Table title"/>
    <w:basedOn w:val="Normal"/>
    <w:next w:val="Normal"/>
    <w:qFormat/>
    <w:rsid w:val="009735B5"/>
    <w:pPr>
      <w:spacing w:before="240" w:line="360" w:lineRule="auto"/>
    </w:pPr>
  </w:style>
  <w:style w:type="paragraph" w:customStyle="1" w:styleId="Figurecaption">
    <w:name w:val="Figure caption"/>
    <w:basedOn w:val="Normal"/>
    <w:next w:val="Normal"/>
    <w:qFormat/>
    <w:rsid w:val="009735B5"/>
    <w:pPr>
      <w:spacing w:before="240" w:line="360" w:lineRule="auto"/>
    </w:pPr>
  </w:style>
  <w:style w:type="paragraph" w:customStyle="1" w:styleId="Footnotes">
    <w:name w:val="Footnotes"/>
    <w:basedOn w:val="Normal"/>
    <w:qFormat/>
    <w:rsid w:val="009735B5"/>
    <w:pPr>
      <w:spacing w:before="120" w:line="360" w:lineRule="auto"/>
      <w:ind w:left="482" w:hanging="482"/>
      <w:contextualSpacing/>
    </w:pPr>
    <w:rPr>
      <w:sz w:val="22"/>
    </w:rPr>
  </w:style>
  <w:style w:type="paragraph" w:customStyle="1" w:styleId="Notesoncontributors">
    <w:name w:val="Notes on contributors"/>
    <w:basedOn w:val="Normal"/>
    <w:qFormat/>
    <w:rsid w:val="009735B5"/>
    <w:pPr>
      <w:spacing w:before="240" w:line="360" w:lineRule="auto"/>
    </w:pPr>
    <w:rPr>
      <w:sz w:val="22"/>
    </w:rPr>
  </w:style>
  <w:style w:type="paragraph" w:customStyle="1" w:styleId="Normalparagraphstyle">
    <w:name w:val="Normal paragraph style"/>
    <w:basedOn w:val="Normal"/>
    <w:next w:val="Normal"/>
    <w:rsid w:val="009735B5"/>
  </w:style>
  <w:style w:type="paragraph" w:customStyle="1" w:styleId="Paragraph">
    <w:name w:val="Paragraph"/>
    <w:basedOn w:val="Normal"/>
    <w:next w:val="Newparagraph"/>
    <w:qFormat/>
    <w:rsid w:val="009735B5"/>
    <w:pPr>
      <w:widowControl w:val="0"/>
      <w:spacing w:before="240"/>
    </w:pPr>
  </w:style>
  <w:style w:type="paragraph" w:customStyle="1" w:styleId="Newparagraph">
    <w:name w:val="New paragraph"/>
    <w:basedOn w:val="Normal"/>
    <w:qFormat/>
    <w:rsid w:val="009735B5"/>
    <w:pPr>
      <w:ind w:firstLine="720"/>
    </w:pPr>
  </w:style>
  <w:style w:type="paragraph" w:styleId="NormalIndent">
    <w:name w:val="Normal Indent"/>
    <w:basedOn w:val="Normal"/>
    <w:rsid w:val="009735B5"/>
    <w:pPr>
      <w:ind w:left="720"/>
    </w:pPr>
  </w:style>
  <w:style w:type="paragraph" w:customStyle="1" w:styleId="References">
    <w:name w:val="References"/>
    <w:basedOn w:val="Normal"/>
    <w:qFormat/>
    <w:rsid w:val="009735B5"/>
    <w:pPr>
      <w:spacing w:before="120" w:line="360" w:lineRule="auto"/>
      <w:ind w:left="720" w:hanging="720"/>
      <w:contextualSpacing/>
    </w:pPr>
  </w:style>
  <w:style w:type="paragraph" w:customStyle="1" w:styleId="Subjectcodes">
    <w:name w:val="Subject codes"/>
    <w:basedOn w:val="Keywords"/>
    <w:next w:val="Paragraph"/>
    <w:qFormat/>
    <w:rsid w:val="009735B5"/>
  </w:style>
  <w:style w:type="paragraph" w:customStyle="1" w:styleId="Bulletedlist">
    <w:name w:val="Bulleted list"/>
    <w:basedOn w:val="Paragraph"/>
    <w:next w:val="Paragraph"/>
    <w:qFormat/>
    <w:rsid w:val="009735B5"/>
    <w:pPr>
      <w:widowControl/>
      <w:numPr>
        <w:numId w:val="22"/>
      </w:numPr>
      <w:spacing w:after="240"/>
      <w:contextualSpacing/>
    </w:pPr>
  </w:style>
  <w:style w:type="paragraph" w:styleId="FootnoteText">
    <w:name w:val="footnote text"/>
    <w:basedOn w:val="Normal"/>
    <w:link w:val="FootnoteTextChar"/>
    <w:autoRedefine/>
    <w:rsid w:val="009735B5"/>
    <w:pPr>
      <w:ind w:left="284" w:hanging="284"/>
    </w:pPr>
    <w:rPr>
      <w:sz w:val="22"/>
      <w:szCs w:val="20"/>
    </w:rPr>
  </w:style>
  <w:style w:type="character" w:customStyle="1" w:styleId="FootnoteTextChar">
    <w:name w:val="Footnote Text Char"/>
    <w:basedOn w:val="DefaultParagraphFont"/>
    <w:link w:val="FootnoteText"/>
    <w:rsid w:val="009735B5"/>
    <w:rPr>
      <w:rFonts w:ascii="Times New Roman"/>
      <w:szCs w:val="20"/>
      <w:lang w:val="en-GB" w:eastAsia="en-GB"/>
    </w:rPr>
  </w:style>
  <w:style w:type="character" w:styleId="FootnoteReference">
    <w:name w:val="footnote reference"/>
    <w:basedOn w:val="DefaultParagraphFont"/>
    <w:rsid w:val="009735B5"/>
    <w:rPr>
      <w:vertAlign w:val="superscript"/>
    </w:rPr>
  </w:style>
  <w:style w:type="paragraph" w:styleId="EndnoteText">
    <w:name w:val="endnote text"/>
    <w:basedOn w:val="Normal"/>
    <w:link w:val="EndnoteTextChar"/>
    <w:autoRedefine/>
    <w:rsid w:val="009735B5"/>
    <w:pPr>
      <w:ind w:left="284" w:hanging="284"/>
    </w:pPr>
    <w:rPr>
      <w:sz w:val="22"/>
      <w:szCs w:val="20"/>
    </w:rPr>
  </w:style>
  <w:style w:type="character" w:customStyle="1" w:styleId="EndnoteTextChar">
    <w:name w:val="Endnote Text Char"/>
    <w:basedOn w:val="DefaultParagraphFont"/>
    <w:link w:val="EndnoteText"/>
    <w:rsid w:val="009735B5"/>
    <w:rPr>
      <w:rFonts w:ascii="Times New Roman"/>
      <w:szCs w:val="20"/>
      <w:lang w:val="en-GB" w:eastAsia="en-GB"/>
    </w:rPr>
  </w:style>
  <w:style w:type="character" w:styleId="EndnoteReference">
    <w:name w:val="endnote reference"/>
    <w:basedOn w:val="DefaultParagraphFont"/>
    <w:rsid w:val="009735B5"/>
    <w:rPr>
      <w:vertAlign w:val="superscript"/>
    </w:rPr>
  </w:style>
  <w:style w:type="paragraph" w:customStyle="1" w:styleId="Heading4Paragraph">
    <w:name w:val="Heading 4 + Paragraph"/>
    <w:basedOn w:val="Paragraph"/>
    <w:next w:val="Newparagraph"/>
    <w:qFormat/>
    <w:rsid w:val="009735B5"/>
    <w:pPr>
      <w:widowControl/>
      <w:spacing w:before="360"/>
    </w:pPr>
  </w:style>
  <w:style w:type="character" w:styleId="PlaceholderText">
    <w:name w:val="Placeholder Text"/>
    <w:basedOn w:val="DefaultParagraphFont"/>
    <w:uiPriority w:val="99"/>
    <w:semiHidden/>
    <w:rsid w:val="00CB55E8"/>
    <w:rPr>
      <w:color w:val="808080"/>
    </w:rPr>
  </w:style>
  <w:style w:type="character" w:customStyle="1" w:styleId="ff2">
    <w:name w:val="ff2"/>
    <w:basedOn w:val="DefaultParagraphFont"/>
    <w:rsid w:val="00A03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529">
      <w:bodyDiv w:val="1"/>
      <w:marLeft w:val="0"/>
      <w:marRight w:val="0"/>
      <w:marTop w:val="0"/>
      <w:marBottom w:val="0"/>
      <w:divBdr>
        <w:top w:val="none" w:sz="0" w:space="0" w:color="auto"/>
        <w:left w:val="none" w:sz="0" w:space="0" w:color="auto"/>
        <w:bottom w:val="none" w:sz="0" w:space="0" w:color="auto"/>
        <w:right w:val="none" w:sz="0" w:space="0" w:color="auto"/>
      </w:divBdr>
    </w:div>
    <w:div w:id="89395592">
      <w:bodyDiv w:val="1"/>
      <w:marLeft w:val="0"/>
      <w:marRight w:val="0"/>
      <w:marTop w:val="0"/>
      <w:marBottom w:val="0"/>
      <w:divBdr>
        <w:top w:val="none" w:sz="0" w:space="0" w:color="auto"/>
        <w:left w:val="none" w:sz="0" w:space="0" w:color="auto"/>
        <w:bottom w:val="none" w:sz="0" w:space="0" w:color="auto"/>
        <w:right w:val="none" w:sz="0" w:space="0" w:color="auto"/>
      </w:divBdr>
    </w:div>
    <w:div w:id="206573954">
      <w:bodyDiv w:val="1"/>
      <w:marLeft w:val="0"/>
      <w:marRight w:val="0"/>
      <w:marTop w:val="0"/>
      <w:marBottom w:val="0"/>
      <w:divBdr>
        <w:top w:val="none" w:sz="0" w:space="0" w:color="auto"/>
        <w:left w:val="none" w:sz="0" w:space="0" w:color="auto"/>
        <w:bottom w:val="none" w:sz="0" w:space="0" w:color="auto"/>
        <w:right w:val="none" w:sz="0" w:space="0" w:color="auto"/>
      </w:divBdr>
    </w:div>
    <w:div w:id="634528466">
      <w:bodyDiv w:val="1"/>
      <w:marLeft w:val="0"/>
      <w:marRight w:val="0"/>
      <w:marTop w:val="0"/>
      <w:marBottom w:val="0"/>
      <w:divBdr>
        <w:top w:val="none" w:sz="0" w:space="0" w:color="auto"/>
        <w:left w:val="none" w:sz="0" w:space="0" w:color="auto"/>
        <w:bottom w:val="none" w:sz="0" w:space="0" w:color="auto"/>
        <w:right w:val="none" w:sz="0" w:space="0" w:color="auto"/>
      </w:divBdr>
    </w:div>
    <w:div w:id="948001878">
      <w:bodyDiv w:val="1"/>
      <w:marLeft w:val="0"/>
      <w:marRight w:val="0"/>
      <w:marTop w:val="0"/>
      <w:marBottom w:val="0"/>
      <w:divBdr>
        <w:top w:val="none" w:sz="0" w:space="0" w:color="auto"/>
        <w:left w:val="none" w:sz="0" w:space="0" w:color="auto"/>
        <w:bottom w:val="none" w:sz="0" w:space="0" w:color="auto"/>
        <w:right w:val="none" w:sz="0" w:space="0" w:color="auto"/>
      </w:divBdr>
    </w:div>
    <w:div w:id="1663774321">
      <w:bodyDiv w:val="1"/>
      <w:marLeft w:val="0"/>
      <w:marRight w:val="0"/>
      <w:marTop w:val="0"/>
      <w:marBottom w:val="0"/>
      <w:divBdr>
        <w:top w:val="none" w:sz="0" w:space="0" w:color="auto"/>
        <w:left w:val="none" w:sz="0" w:space="0" w:color="auto"/>
        <w:bottom w:val="none" w:sz="0" w:space="0" w:color="auto"/>
        <w:right w:val="none" w:sz="0" w:space="0" w:color="auto"/>
      </w:divBdr>
    </w:div>
    <w:div w:id="173377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ic.rsc.org/analysis/why-dont-teachers-use-education-research-in-teaching/2010170.articl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research/participants/data/ref/h2020/other/gm/h2020-guide-comm_en.pdf" TargetMode="External"/><Relationship Id="rId17" Type="http://schemas.openxmlformats.org/officeDocument/2006/relationships/hyperlink" Target="http://www.who.int/tdr/publications/year/2014/9789241506960_workbook_eng.pdf" TargetMode="External"/><Relationship Id="rId2" Type="http://schemas.openxmlformats.org/officeDocument/2006/relationships/numbering" Target="numbering.xml"/><Relationship Id="rId16" Type="http://schemas.openxmlformats.org/officeDocument/2006/relationships/hyperlink" Target="http://help.analyticsedge.com/googleanalytics/misunderstood-metrics-unique-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4507/epaa.v22n88.2014" TargetMode="External"/><Relationship Id="rId5" Type="http://schemas.openxmlformats.org/officeDocument/2006/relationships/settings" Target="settings.xml"/><Relationship Id="rId15" Type="http://schemas.openxmlformats.org/officeDocument/2006/relationships/hyperlink" Target="https://www.researchtrends.com/issue-36-march-2014/article-downloads/" TargetMode="External"/><Relationship Id="rId10" Type="http://schemas.openxmlformats.org/officeDocument/2006/relationships/hyperlink" Target="http://www.dcc.ac.uk/resources/how-guides/track-data-impact-metric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hopwood-stephens@bathspa.ac.uk" TargetMode="External"/><Relationship Id="rId14" Type="http://schemas.openxmlformats.org/officeDocument/2006/relationships/hyperlink" Target="http://elibrary.worldbank.org/doi/pdf/10.1596/1813-9450-57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hopw\AppData\Roaming\Microsoft\Templates\TF_Template_Word_Windows_2016\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68FD-DB14-4208-892C-EAF82C96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25</Pages>
  <Words>6695</Words>
  <Characters>38167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44773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Hopwood-Stephens</dc:creator>
  <cp:lastModifiedBy>Rebecca Atkins</cp:lastModifiedBy>
  <cp:revision>2</cp:revision>
  <cp:lastPrinted>2019-02-20T14:14:00Z</cp:lastPrinted>
  <dcterms:created xsi:type="dcterms:W3CDTF">2019-07-29T10:40:00Z</dcterms:created>
  <dcterms:modified xsi:type="dcterms:W3CDTF">2019-07-29T10:40:00Z</dcterms:modified>
</cp:coreProperties>
</file>