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705EA4" w14:textId="77777777" w:rsidR="00560540" w:rsidRDefault="005A7FB1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noProof/>
          <w:sz w:val="20"/>
          <w:szCs w:val="20"/>
          <w:lang w:val="en-GB"/>
        </w:rPr>
        <w:drawing>
          <wp:inline distT="0" distB="0" distL="0" distR="0" wp14:anchorId="09E3746B" wp14:editId="75F5EDD5">
            <wp:extent cx="1352741" cy="135274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6BAB9F" w14:textId="77777777" w:rsidR="00A6684E" w:rsidRDefault="00A6684E" w:rsidP="00A6684E">
      <w:pPr>
        <w:spacing w:after="120" w:line="288" w:lineRule="auto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b/>
          <w:color w:val="3B3838"/>
        </w:rPr>
        <w:t>School: School of Science</w:t>
      </w:r>
    </w:p>
    <w:p w14:paraId="3AA3B6A6" w14:textId="77777777" w:rsidR="00A6684E" w:rsidRDefault="00A6684E" w:rsidP="00A6684E">
      <w:pPr>
        <w:spacing w:after="120" w:line="288" w:lineRule="auto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b/>
          <w:color w:val="3B3838"/>
        </w:rPr>
        <w:t>Researcher: Ella Simpson</w:t>
      </w:r>
    </w:p>
    <w:p w14:paraId="35A2C783" w14:textId="77777777" w:rsidR="00A6684E" w:rsidRDefault="00A6684E" w:rsidP="00A6684E">
      <w:pPr>
        <w:spacing w:after="120" w:line="288" w:lineRule="auto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b/>
          <w:color w:val="3B3838"/>
        </w:rPr>
        <w:t xml:space="preserve">Project Title: </w:t>
      </w:r>
      <w:r w:rsidRPr="006B7BF2">
        <w:rPr>
          <w:rFonts w:ascii="Arial" w:eastAsia="Arial" w:hAnsi="Arial" w:cs="Arial"/>
          <w:b/>
          <w:color w:val="3B3838"/>
        </w:rPr>
        <w:t>Criminal Research: Creating Communities of Practice</w:t>
      </w:r>
    </w:p>
    <w:p w14:paraId="40CCB1D3" w14:textId="77777777" w:rsidR="00A6684E" w:rsidRDefault="00A6684E" w:rsidP="00A6684E">
      <w:pPr>
        <w:spacing w:after="360" w:line="288" w:lineRule="auto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b/>
          <w:color w:val="3B3838"/>
        </w:rPr>
        <w:t xml:space="preserve">UOA:  33 - </w:t>
      </w:r>
      <w:r w:rsidRPr="00312535">
        <w:rPr>
          <w:rFonts w:ascii="Arial" w:eastAsia="Arial" w:hAnsi="Arial" w:cs="Arial"/>
          <w:b/>
          <w:color w:val="3B3838"/>
        </w:rPr>
        <w:t>Music, Drama, Dance, Performing Arts, Film and Screen Studies</w:t>
      </w:r>
    </w:p>
    <w:p w14:paraId="5A69E9F7" w14:textId="77777777" w:rsidR="00560540" w:rsidRDefault="005A7FB1">
      <w:pPr>
        <w:spacing w:after="240" w:line="288" w:lineRule="auto"/>
        <w:rPr>
          <w:rFonts w:ascii="Arial" w:eastAsia="Arial" w:hAnsi="Arial" w:cs="Arial"/>
          <w:color w:val="1F2451"/>
        </w:rPr>
      </w:pPr>
      <w:r>
        <w:rPr>
          <w:rFonts w:ascii="Arial" w:eastAsia="Arial" w:hAnsi="Arial" w:cs="Arial"/>
          <w:color w:val="1F2451"/>
          <w:sz w:val="48"/>
          <w:szCs w:val="48"/>
        </w:rPr>
        <w:t>Research Timeline</w:t>
      </w:r>
    </w:p>
    <w:tbl>
      <w:tblPr>
        <w:tblStyle w:val="a"/>
        <w:tblW w:w="9145" w:type="dxa"/>
        <w:tblInd w:w="-113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7337"/>
      </w:tblGrid>
      <w:tr w:rsidR="00560540" w14:paraId="292F9919" w14:textId="77777777">
        <w:trPr>
          <w:trHeight w:val="540"/>
        </w:trPr>
        <w:tc>
          <w:tcPr>
            <w:tcW w:w="1808" w:type="dxa"/>
            <w:tcBorders>
              <w:bottom w:val="nil"/>
              <w:right w:val="single" w:sz="6" w:space="0" w:color="FFFFFF"/>
            </w:tcBorders>
            <w:shd w:val="clear" w:color="auto" w:fill="CADBDF"/>
          </w:tcPr>
          <w:p w14:paraId="2C419B86" w14:textId="77777777" w:rsidR="00560540" w:rsidRDefault="005A7FB1">
            <w:pPr>
              <w:spacing w:before="120" w:after="120"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337" w:type="dxa"/>
            <w:tcBorders>
              <w:left w:val="single" w:sz="6" w:space="0" w:color="FFFFFF"/>
              <w:bottom w:val="nil"/>
            </w:tcBorders>
            <w:shd w:val="clear" w:color="auto" w:fill="CADBDF"/>
          </w:tcPr>
          <w:p w14:paraId="6BF821A5" w14:textId="77777777" w:rsidR="00560540" w:rsidRDefault="005A7FB1">
            <w:pPr>
              <w:spacing w:before="120" w:after="120"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Rationale of research activities and decisions undertaken</w:t>
            </w:r>
          </w:p>
        </w:tc>
      </w:tr>
      <w:tr w:rsidR="00560540" w14:paraId="0E408F84" w14:textId="77777777">
        <w:trPr>
          <w:trHeight w:val="1080"/>
        </w:trPr>
        <w:tc>
          <w:tcPr>
            <w:tcW w:w="1808" w:type="dxa"/>
            <w:tcBorders>
              <w:bottom w:val="single" w:sz="6" w:space="0" w:color="CADBDF"/>
              <w:right w:val="nil"/>
            </w:tcBorders>
          </w:tcPr>
          <w:p w14:paraId="22112C20" w14:textId="77777777" w:rsidR="00560540" w:rsidRDefault="00560540">
            <w:pP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D68B84" w14:textId="77777777" w:rsidR="003D586F" w:rsidRDefault="003D586F">
            <w:pP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June 2017</w:t>
            </w:r>
          </w:p>
        </w:tc>
        <w:tc>
          <w:tcPr>
            <w:tcW w:w="7337" w:type="dxa"/>
            <w:tcBorders>
              <w:left w:val="nil"/>
              <w:bottom w:val="single" w:sz="6" w:space="0" w:color="CADBDF"/>
            </w:tcBorders>
          </w:tcPr>
          <w:p w14:paraId="4CB2E9CB" w14:textId="77777777" w:rsidR="00560540" w:rsidRDefault="005A7FB1">
            <w:p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6BFFC59" w14:textId="77777777" w:rsidR="003D586F" w:rsidRDefault="003D586F">
            <w:p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Meet Prof. Tobi Jacobi (Colorado State University) at inaugural CRIMVOL conference. Discuss the need for pedagogically informed </w:t>
            </w:r>
            <w:r w:rsidR="00072768">
              <w:rPr>
                <w:rFonts w:ascii="Arial" w:eastAsia="Arial" w:hAnsi="Arial" w:cs="Arial"/>
                <w:sz w:val="20"/>
                <w:szCs w:val="20"/>
              </w:rPr>
              <w:t xml:space="preserve">creative writing </w:t>
            </w:r>
            <w:proofErr w:type="spellStart"/>
            <w:r w:rsidR="00072768">
              <w:rPr>
                <w:rFonts w:ascii="Arial" w:eastAsia="Arial" w:hAnsi="Arial" w:cs="Arial"/>
                <w:sz w:val="20"/>
                <w:szCs w:val="20"/>
              </w:rPr>
              <w:t>programmes</w:t>
            </w:r>
            <w:proofErr w:type="spellEnd"/>
            <w:r w:rsidR="00072768">
              <w:rPr>
                <w:rFonts w:ascii="Arial" w:eastAsia="Arial" w:hAnsi="Arial" w:cs="Arial"/>
                <w:sz w:val="20"/>
                <w:szCs w:val="20"/>
              </w:rPr>
              <w:t xml:space="preserve"> to inform research on prison creative writing </w:t>
            </w:r>
          </w:p>
        </w:tc>
      </w:tr>
      <w:tr w:rsidR="00560540" w14:paraId="6F95CC7C" w14:textId="77777777">
        <w:trPr>
          <w:trHeight w:val="420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5DCE82BC" w14:textId="77777777" w:rsidR="00560540" w:rsidRDefault="00560540">
            <w:pPr>
              <w:spacing w:before="120"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7A4096" w14:textId="77777777" w:rsidR="00560540" w:rsidRDefault="00072768">
            <w:pPr>
              <w:spacing w:before="120"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August 2017</w:t>
            </w:r>
          </w:p>
          <w:p w14:paraId="2B0C8F9D" w14:textId="77777777" w:rsidR="00560540" w:rsidRDefault="00560540">
            <w:pPr>
              <w:spacing w:before="120"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1BEE3AB3" w14:textId="77777777" w:rsidR="00560540" w:rsidRDefault="00560540">
            <w:p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4EB581" w14:textId="77777777" w:rsidR="00072768" w:rsidRDefault="00072768">
            <w:pPr>
              <w:spacing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Agree collaboration with Colorado State University and category C prison in England.</w:t>
            </w:r>
          </w:p>
        </w:tc>
      </w:tr>
      <w:tr w:rsidR="00560540" w14:paraId="049F5F86" w14:textId="77777777">
        <w:trPr>
          <w:trHeight w:val="620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60D29AD8" w14:textId="77777777" w:rsidR="00560540" w:rsidRDefault="00560540">
            <w:pPr>
              <w:spacing w:before="120" w:line="288" w:lineRule="auto"/>
              <w:rPr>
                <w:sz w:val="22"/>
                <w:szCs w:val="22"/>
              </w:rPr>
            </w:pPr>
          </w:p>
          <w:p w14:paraId="0A8B3C98" w14:textId="77777777" w:rsidR="00072768" w:rsidRDefault="00072768">
            <w:pPr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2017 –</w:t>
            </w:r>
          </w:p>
          <w:p w14:paraId="1AA04AD1" w14:textId="77777777" w:rsidR="00072768" w:rsidRDefault="00072768">
            <w:pPr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1263053A" w14:textId="77777777" w:rsidR="00560540" w:rsidRDefault="00560540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CC389D" w14:textId="77777777" w:rsidR="00560540" w:rsidRDefault="00560540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A4E83A" w14:textId="77777777" w:rsidR="00560540" w:rsidRDefault="00072768" w:rsidP="00072768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Planning and design of The Literary Chain Gang writing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Including sharing of best practice. Involvement of CSU interns. Devising a curriculum that speaks to needs of research – particularly in terms of ways to document developing conversations, relationships, impact on participants writing. Drafting feedback sheets and participant guidelines. </w:t>
            </w:r>
            <w:r w:rsidR="00586327">
              <w:rPr>
                <w:rFonts w:ascii="Arial" w:eastAsia="Arial" w:hAnsi="Arial" w:cs="Arial"/>
                <w:sz w:val="20"/>
                <w:szCs w:val="20"/>
              </w:rPr>
              <w:t>Planning for AV delivery of workshop prompts.</w:t>
            </w:r>
          </w:p>
          <w:p w14:paraId="256DE964" w14:textId="77777777" w:rsidR="00560540" w:rsidRDefault="00560540">
            <w:pPr>
              <w:spacing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6BBC" w14:paraId="061FBAB9" w14:textId="77777777">
        <w:trPr>
          <w:trHeight w:val="620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71204203" w14:textId="77777777" w:rsidR="00806BBC" w:rsidRDefault="00806BBC">
            <w:pPr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7D915EFA" w14:textId="77777777" w:rsidR="00CE3822" w:rsidRDefault="00CE3822" w:rsidP="002815C9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Deliver Literary Chain Gang </w:t>
            </w:r>
          </w:p>
          <w:p w14:paraId="4CF5A09E" w14:textId="77777777" w:rsidR="00806BBC" w:rsidRDefault="00806BBC" w:rsidP="002815C9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Interest expressed by OLASS provider for a similar project in a second prison</w:t>
            </w:r>
          </w:p>
        </w:tc>
      </w:tr>
      <w:tr w:rsidR="00806BBC" w14:paraId="55F01E70" w14:textId="77777777">
        <w:trPr>
          <w:trHeight w:val="1320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0A4AFF36" w14:textId="77777777" w:rsidR="00806BBC" w:rsidRDefault="00806BBC" w:rsidP="00072768">
            <w:pPr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2018 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7A2D7056" w14:textId="77777777" w:rsidR="00806BBC" w:rsidRDefault="00806B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3B9C83" w14:textId="77777777" w:rsidR="00806BBC" w:rsidRDefault="00806BBC" w:rsidP="0007276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Debrief on</w:t>
            </w:r>
            <w:r w:rsidR="00A51A0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Literary Chain Gang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Agreement to run </w:t>
            </w:r>
            <w:r w:rsidR="00A51A0D">
              <w:rPr>
                <w:rFonts w:ascii="Arial" w:eastAsia="Arial" w:hAnsi="Arial" w:cs="Arial"/>
                <w:color w:val="000000"/>
                <w:sz w:val="20"/>
                <w:szCs w:val="20"/>
              </w:rPr>
              <w:t>a second iteration in April 2019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Agreement from prison.</w:t>
            </w:r>
          </w:p>
        </w:tc>
      </w:tr>
      <w:tr w:rsidR="00A51A0D" w14:paraId="02C32AD5" w14:textId="77777777">
        <w:trPr>
          <w:trHeight w:val="1320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77CC8826" w14:textId="77777777" w:rsidR="00A51A0D" w:rsidRDefault="00A51A0D" w:rsidP="00072768">
            <w:pPr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May 2018 –</w:t>
            </w:r>
          </w:p>
          <w:p w14:paraId="7C90155C" w14:textId="77777777" w:rsidR="00A51A0D" w:rsidRDefault="00A51A0D" w:rsidP="00072768">
            <w:pPr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3E90587E" w14:textId="77777777" w:rsidR="00A51A0D" w:rsidRDefault="00A51A0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29FAD2B" w14:textId="77777777" w:rsidR="00A51A0D" w:rsidRDefault="00A51A0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Production and publication of Literary Chain Gang anthology</w:t>
            </w:r>
          </w:p>
        </w:tc>
      </w:tr>
      <w:tr w:rsidR="00806BBC" w14:paraId="416491BA" w14:textId="77777777">
        <w:trPr>
          <w:trHeight w:val="560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144EE98D" w14:textId="77777777" w:rsidR="00806BBC" w:rsidRDefault="00A51A0D" w:rsidP="002815C9">
            <w:pPr>
              <w:spacing w:before="120" w:after="120" w:line="288" w:lineRule="auto"/>
            </w:pPr>
            <w:r>
              <w:t>Jun 2018</w:t>
            </w:r>
            <w:r w:rsidR="00806BBC">
              <w:t xml:space="preserve"> –</w:t>
            </w:r>
          </w:p>
          <w:p w14:paraId="3262743B" w14:textId="77777777" w:rsidR="00806BBC" w:rsidRDefault="00A51A0D" w:rsidP="002815C9">
            <w:pPr>
              <w:spacing w:before="120" w:after="120" w:line="288" w:lineRule="auto"/>
            </w:pPr>
            <w:r>
              <w:t>Oct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0611DA26" w14:textId="77777777" w:rsidR="00806BBC" w:rsidRDefault="00806BBC" w:rsidP="002815C9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C3ADA">
              <w:rPr>
                <w:rFonts w:ascii="Arial" w:eastAsia="Arial" w:hAnsi="Arial" w:cs="Arial"/>
                <w:sz w:val="20"/>
                <w:szCs w:val="20"/>
              </w:rPr>
              <w:t xml:space="preserve">Planning and design of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MasterClass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Series </w:t>
            </w:r>
            <w:r w:rsidRPr="002C3ADA">
              <w:rPr>
                <w:rFonts w:ascii="Arial" w:eastAsia="Arial" w:hAnsi="Arial" w:cs="Arial"/>
                <w:sz w:val="20"/>
                <w:szCs w:val="20"/>
              </w:rPr>
              <w:t xml:space="preserve">writing </w:t>
            </w:r>
            <w:proofErr w:type="spellStart"/>
            <w:r w:rsidRPr="002C3ADA">
              <w:rPr>
                <w:rFonts w:ascii="Arial" w:eastAsia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into second English prison</w:t>
            </w:r>
            <w:r w:rsidRPr="002C3ADA">
              <w:rPr>
                <w:rFonts w:ascii="Arial" w:eastAsia="Arial" w:hAnsi="Arial" w:cs="Arial"/>
                <w:sz w:val="20"/>
                <w:szCs w:val="20"/>
              </w:rPr>
              <w:t>. Inc</w:t>
            </w:r>
            <w:r>
              <w:rPr>
                <w:rFonts w:ascii="Arial" w:eastAsia="Arial" w:hAnsi="Arial" w:cs="Arial"/>
                <w:sz w:val="20"/>
                <w:szCs w:val="20"/>
              </w:rPr>
              <w:t>luding sharing of best practice</w:t>
            </w:r>
            <w:r w:rsidRPr="002C3ADA">
              <w:rPr>
                <w:rFonts w:ascii="Arial" w:eastAsia="Arial" w:hAnsi="Arial" w:cs="Arial"/>
                <w:sz w:val="20"/>
                <w:szCs w:val="20"/>
              </w:rPr>
              <w:t>. Devising a curriculum that speaks to needs of research – particularly in terms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gaps identified in Chain Gang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which </w:t>
            </w:r>
            <w:r w:rsidR="00A51A0D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dentified benefits of creating ‘excellence’ rather than simply interaction with peers. Agreement from BSU head of creative writing to recruit professional published writers to record workshop prompts.</w:t>
            </w:r>
          </w:p>
          <w:p w14:paraId="75EA87B1" w14:textId="77777777" w:rsidR="00806BBC" w:rsidRDefault="00806BBC" w:rsidP="002815C9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Working with creative writing professionals to develop their workshop prompts. Planning and filming AV clips</w:t>
            </w:r>
          </w:p>
        </w:tc>
      </w:tr>
      <w:tr w:rsidR="00CE3822" w14:paraId="1D152687" w14:textId="77777777">
        <w:trPr>
          <w:trHeight w:val="560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4A37734C" w14:textId="77777777" w:rsidR="00CE3822" w:rsidRDefault="00A51A0D" w:rsidP="002815C9">
            <w:pPr>
              <w:spacing w:before="120" w:after="120" w:line="288" w:lineRule="auto"/>
            </w:pPr>
            <w:r>
              <w:t>Nov 2018</w:t>
            </w:r>
            <w:r w:rsidR="00CE3822">
              <w:t xml:space="preserve"> –</w:t>
            </w:r>
          </w:p>
          <w:p w14:paraId="4C4F0592" w14:textId="77777777" w:rsidR="00CE3822" w:rsidRDefault="00A51A0D" w:rsidP="002815C9">
            <w:pPr>
              <w:spacing w:before="120" w:after="120" w:line="288" w:lineRule="auto"/>
            </w:pPr>
            <w:r>
              <w:t>Jan 2019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0E959F83" w14:textId="77777777" w:rsidR="00CE3822" w:rsidRDefault="00CE3822" w:rsidP="002815C9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Deliver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MasterClass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series in second English prison. </w:t>
            </w:r>
          </w:p>
        </w:tc>
      </w:tr>
      <w:tr w:rsidR="00CE3822" w14:paraId="7D1E29CA" w14:textId="77777777">
        <w:trPr>
          <w:trHeight w:val="560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4F73DCE3" w14:textId="77777777" w:rsidR="00CE3822" w:rsidRDefault="00CE3822">
            <w:pPr>
              <w:spacing w:before="120" w:after="120" w:line="288" w:lineRule="auto"/>
            </w:pPr>
            <w:r>
              <w:t>Dec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2AEDD41F" w14:textId="77777777" w:rsidR="00CE3822" w:rsidRDefault="00CE3822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Literary Chain Gang anthology launch in English prison</w:t>
            </w:r>
          </w:p>
          <w:p w14:paraId="00EF7312" w14:textId="77777777" w:rsidR="00CE3822" w:rsidRDefault="00CE3822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3822" w14:paraId="14319B27" w14:textId="77777777" w:rsidTr="00586327">
        <w:trPr>
          <w:trHeight w:val="1735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093629B1" w14:textId="77777777" w:rsidR="00CE3822" w:rsidRDefault="00CE3822" w:rsidP="002815C9">
            <w:pPr>
              <w:spacing w:before="120" w:after="120" w:line="288" w:lineRule="auto"/>
            </w:pPr>
            <w:r>
              <w:t>Jan 2019 –</w:t>
            </w:r>
          </w:p>
          <w:p w14:paraId="7DEA1B54" w14:textId="77777777" w:rsidR="00CE3822" w:rsidRDefault="00CE3822" w:rsidP="002815C9">
            <w:pPr>
              <w:spacing w:before="120" w:after="120" w:line="288" w:lineRule="auto"/>
            </w:pPr>
            <w:r>
              <w:t>Mar 2019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19274FEB" w14:textId="77777777" w:rsidR="00CE3822" w:rsidRDefault="00CE3822" w:rsidP="00A51A0D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Development of</w:t>
            </w:r>
            <w:r w:rsidR="00A51A0D">
              <w:rPr>
                <w:rFonts w:ascii="Arial" w:eastAsia="Arial" w:hAnsi="Arial" w:cs="Arial"/>
                <w:sz w:val="20"/>
                <w:szCs w:val="20"/>
              </w:rPr>
              <w:t xml:space="preserve"> second iteration </w:t>
            </w:r>
            <w:proofErr w:type="gramStart"/>
            <w:r w:rsidR="00A51A0D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Literary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Chain Gang. Decisions on how to improve feedback structure for prisoners. Improvements made to IT logistics to improve delivery of workshop prompts via AV. Agree the </w:t>
            </w:r>
            <w:r w:rsidR="00A51A0D">
              <w:rPr>
                <w:rFonts w:ascii="Arial" w:eastAsia="Arial" w:hAnsi="Arial" w:cs="Arial"/>
                <w:sz w:val="20"/>
                <w:szCs w:val="20"/>
              </w:rPr>
              <w:t>first iteration was 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success, time to try to secure HMPPS approval for official research. </w:t>
            </w:r>
          </w:p>
        </w:tc>
      </w:tr>
      <w:tr w:rsidR="00CE3822" w14:paraId="4D96918A" w14:textId="77777777" w:rsidTr="00CE3822">
        <w:trPr>
          <w:trHeight w:val="1025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4E19E429" w14:textId="77777777" w:rsidR="00CE3822" w:rsidRDefault="00CE3822" w:rsidP="002815C9">
            <w:pPr>
              <w:spacing w:before="120" w:after="120" w:line="288" w:lineRule="auto"/>
            </w:pPr>
            <w:r>
              <w:t>Jan 2019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5252CD30" w14:textId="77777777" w:rsidR="00CE3822" w:rsidRDefault="00CE3822" w:rsidP="00CE3822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Debrief 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MasterClass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series. Agreement with prison to run second iteration in 2020. Fundraising to publish anthology begins.</w:t>
            </w:r>
          </w:p>
        </w:tc>
      </w:tr>
      <w:tr w:rsidR="00CE3822" w14:paraId="13BDBCE1" w14:textId="77777777" w:rsidTr="002C3ADA">
        <w:trPr>
          <w:trHeight w:val="745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245A3293" w14:textId="77777777" w:rsidR="00CE3822" w:rsidRDefault="00CE3822" w:rsidP="002815C9">
            <w:pPr>
              <w:spacing w:before="120" w:after="120" w:line="288" w:lineRule="auto"/>
            </w:pPr>
            <w:r>
              <w:t>Apr 2019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33530A45" w14:textId="77777777" w:rsidR="00CE3822" w:rsidRDefault="00CE3822" w:rsidP="002C3ADA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Deliver Literary Chain Gang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programme</w:t>
            </w:r>
            <w:proofErr w:type="spellEnd"/>
          </w:p>
        </w:tc>
      </w:tr>
      <w:tr w:rsidR="00CE3822" w14:paraId="12745F7E" w14:textId="77777777" w:rsidTr="00586327">
        <w:trPr>
          <w:trHeight w:val="1309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7103C5F9" w14:textId="77777777" w:rsidR="00CE3822" w:rsidRDefault="00CE3822" w:rsidP="002815C9">
            <w:pPr>
              <w:spacing w:before="120" w:after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2019 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38CED12D" w14:textId="77777777" w:rsidR="00CE3822" w:rsidRDefault="00CE3822" w:rsidP="002815C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3B7E97" w14:textId="77777777" w:rsidR="00CE3822" w:rsidRDefault="00CE3822" w:rsidP="00806BB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Debrief on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Unable to secure HMPSS approval at this stage. Investigate accreditation of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with HMPPS. Agree to run</w:t>
            </w:r>
            <w:r w:rsidR="00A51A0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third iteration in late 2020 once research approval granted.</w:t>
            </w:r>
          </w:p>
        </w:tc>
      </w:tr>
      <w:tr w:rsidR="00CE3822" w14:paraId="46EC8AF3" w14:textId="77777777" w:rsidTr="00CE3822">
        <w:trPr>
          <w:trHeight w:val="1154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15802956" w14:textId="77777777" w:rsidR="00CE3822" w:rsidRDefault="00CE3822" w:rsidP="002815C9">
            <w:pPr>
              <w:spacing w:before="120" w:after="120" w:line="288" w:lineRule="auto"/>
            </w:pPr>
            <w:r>
              <w:t>May 2019 –</w:t>
            </w:r>
          </w:p>
          <w:p w14:paraId="70BE836F" w14:textId="77777777" w:rsidR="00CE3822" w:rsidRDefault="00CE3822" w:rsidP="00CE3822">
            <w:pPr>
              <w:spacing w:before="120" w:after="120" w:line="288" w:lineRule="auto"/>
            </w:pPr>
            <w:r>
              <w:t>Nov 2019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57C52632" w14:textId="77777777" w:rsidR="00CE3822" w:rsidRDefault="00CE3822" w:rsidP="002815C9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572328" w14:textId="77777777" w:rsidR="00CE3822" w:rsidRDefault="00CE3822" w:rsidP="00CE3822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Production and publication of Literary Chain Gang anthology</w:t>
            </w:r>
          </w:p>
        </w:tc>
      </w:tr>
      <w:tr w:rsidR="00CE3822" w14:paraId="6584C4A4" w14:textId="77777777" w:rsidTr="00586327">
        <w:trPr>
          <w:trHeight w:val="65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7B9B68CF" w14:textId="77777777" w:rsidR="00CE3822" w:rsidRDefault="00CE3822" w:rsidP="002815C9">
            <w:pPr>
              <w:spacing w:before="120" w:after="120" w:line="288" w:lineRule="auto"/>
            </w:pPr>
            <w:r>
              <w:t>May 2019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1410D9EB" w14:textId="77777777" w:rsidR="00CE3822" w:rsidRDefault="00CE3822" w:rsidP="00CE3822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BSU agree to fund publications costs for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MasterClass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anthology. Head of professional publishing agrees to edit</w:t>
            </w:r>
          </w:p>
        </w:tc>
      </w:tr>
      <w:tr w:rsidR="00CE3822" w14:paraId="26958FD1" w14:textId="77777777" w:rsidTr="00586327">
        <w:trPr>
          <w:trHeight w:val="65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3178B13A" w14:textId="77777777" w:rsidR="00CE3822" w:rsidRDefault="00CE3822" w:rsidP="002815C9">
            <w:pPr>
              <w:spacing w:before="120" w:after="120" w:line="288" w:lineRule="auto"/>
            </w:pPr>
            <w:r>
              <w:t>May-Nov 2019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7E33DC40" w14:textId="77777777" w:rsidR="00CE3822" w:rsidRDefault="00A51A0D" w:rsidP="00CE3822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Production and publication of </w:t>
            </w:r>
            <w:proofErr w:type="spellStart"/>
            <w:r w:rsidR="00CE3822">
              <w:rPr>
                <w:rFonts w:ascii="Arial" w:eastAsia="Arial" w:hAnsi="Arial" w:cs="Arial"/>
                <w:sz w:val="20"/>
                <w:szCs w:val="20"/>
              </w:rPr>
              <w:t>MasterClass</w:t>
            </w:r>
            <w:proofErr w:type="spellEnd"/>
            <w:r w:rsidR="00CE3822">
              <w:rPr>
                <w:rFonts w:ascii="Arial" w:eastAsia="Arial" w:hAnsi="Arial" w:cs="Arial"/>
                <w:sz w:val="20"/>
                <w:szCs w:val="20"/>
              </w:rPr>
              <w:t xml:space="preserve"> anthology </w:t>
            </w:r>
          </w:p>
        </w:tc>
      </w:tr>
      <w:tr w:rsidR="00CE3822" w14:paraId="5913D6D4" w14:textId="77777777" w:rsidTr="00806BBC">
        <w:trPr>
          <w:trHeight w:val="560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52BB1579" w14:textId="77777777" w:rsidR="00CE3822" w:rsidRDefault="00A51A0D" w:rsidP="00806BBC">
            <w:pPr>
              <w:spacing w:before="120" w:after="120" w:line="288" w:lineRule="auto"/>
            </w:pPr>
            <w:r>
              <w:t>Dec</w:t>
            </w:r>
            <w:r w:rsidR="00CE3822">
              <w:t xml:space="preserve"> 2019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6E33A6E9" w14:textId="77777777" w:rsidR="00A51A0D" w:rsidRDefault="00CE3822" w:rsidP="00A51A0D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Anthology launch in English prison of</w:t>
            </w:r>
            <w:r w:rsidR="00A51A0D">
              <w:rPr>
                <w:rFonts w:ascii="Arial" w:eastAsia="Arial" w:hAnsi="Arial" w:cs="Arial"/>
                <w:sz w:val="20"/>
                <w:szCs w:val="20"/>
              </w:rPr>
              <w:t xml:space="preserve"> second Literary Chain Gang</w:t>
            </w:r>
          </w:p>
          <w:p w14:paraId="4E971E52" w14:textId="77777777" w:rsidR="00A51A0D" w:rsidRDefault="00A51A0D" w:rsidP="00806BBC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731C5D" w14:textId="77777777" w:rsidR="00CE3822" w:rsidRDefault="00CE3822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1A0D" w14:paraId="413971AA" w14:textId="77777777" w:rsidTr="00806BBC">
        <w:trPr>
          <w:trHeight w:val="560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692561F3" w14:textId="77777777" w:rsidR="00A51A0D" w:rsidRDefault="00A51A0D" w:rsidP="00806BBC">
            <w:pPr>
              <w:spacing w:before="120" w:after="120" w:line="288" w:lineRule="auto"/>
            </w:pPr>
            <w:r>
              <w:lastRenderedPageBreak/>
              <w:t>Dec  2019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5A2B866F" w14:textId="77777777" w:rsidR="00A51A0D" w:rsidRDefault="00A51A0D" w:rsidP="00A51A0D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MasterClass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anthology launch. </w:t>
            </w:r>
          </w:p>
          <w:p w14:paraId="52D14463" w14:textId="77777777" w:rsidR="00A51A0D" w:rsidRDefault="00A51A0D" w:rsidP="00A51A0D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Initial discussion with New Futures Network to roll out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to other prisons with research approval</w:t>
            </w:r>
          </w:p>
        </w:tc>
      </w:tr>
      <w:tr w:rsidR="00CE3822" w14:paraId="3F351423" w14:textId="77777777" w:rsidTr="00806BBC">
        <w:trPr>
          <w:trHeight w:val="560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53CA6F95" w14:textId="77777777" w:rsidR="00CE3822" w:rsidRDefault="00A51A0D" w:rsidP="00806BBC">
            <w:pPr>
              <w:spacing w:before="120" w:after="120" w:line="288" w:lineRule="auto"/>
            </w:pPr>
            <w:r>
              <w:t>Mar 2020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18278564" w14:textId="77777777" w:rsidR="00CE3822" w:rsidRDefault="00A51A0D" w:rsidP="00806BBC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Follow up conversation with New Futures Network to deliver the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MasterClass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series in a </w:t>
            </w:r>
            <w:proofErr w:type="spellStart"/>
            <w:r w:rsidR="00BB1D9D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="00BB1D9D">
              <w:rPr>
                <w:rFonts w:ascii="Arial" w:eastAsia="Arial" w:hAnsi="Arial" w:cs="Arial"/>
                <w:sz w:val="20"/>
                <w:szCs w:val="20"/>
              </w:rPr>
              <w:t xml:space="preserve"> category B prison therapeutic community in 2020/2021, with potential for research approval </w:t>
            </w:r>
          </w:p>
        </w:tc>
      </w:tr>
      <w:tr w:rsidR="00CE3822" w14:paraId="1F8A0404" w14:textId="77777777">
        <w:trPr>
          <w:trHeight w:val="560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72524F24" w14:textId="77777777" w:rsidR="00CE3822" w:rsidRDefault="00CE3822" w:rsidP="00806BBC">
            <w:pPr>
              <w:spacing w:before="120" w:after="120" w:line="288" w:lineRule="auto"/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5AB2FC68" w14:textId="77777777" w:rsidR="00CE3822" w:rsidRDefault="00CE3822" w:rsidP="00806BBC">
            <w:pPr>
              <w:spacing w:before="120" w:after="12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CC8C5F4" w14:textId="77777777" w:rsidR="00560540" w:rsidRDefault="00560540">
      <w:pPr>
        <w:spacing w:line="288" w:lineRule="auto"/>
      </w:pPr>
    </w:p>
    <w:p w14:paraId="0D5ED379" w14:textId="77777777" w:rsidR="00560540" w:rsidRDefault="00560540">
      <w:pPr>
        <w:spacing w:line="288" w:lineRule="auto"/>
      </w:pPr>
    </w:p>
    <w:sectPr w:rsidR="00560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7A8A" w14:textId="77777777" w:rsidR="00651D8B" w:rsidRDefault="00651D8B">
      <w:r>
        <w:separator/>
      </w:r>
    </w:p>
  </w:endnote>
  <w:endnote w:type="continuationSeparator" w:id="0">
    <w:p w14:paraId="5F43E8A5" w14:textId="77777777" w:rsidR="00651D8B" w:rsidRDefault="0065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E89E" w14:textId="77777777" w:rsidR="0019607A" w:rsidRDefault="00196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F4FD" w14:textId="77777777" w:rsidR="00560540" w:rsidRDefault="005A7FB1">
    <w:pPr>
      <w:tabs>
        <w:tab w:val="center" w:pos="4513"/>
        <w:tab w:val="right" w:pos="9026"/>
      </w:tabs>
      <w:spacing w:line="288" w:lineRule="auto"/>
      <w:jc w:val="center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BB1D9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0B46" w14:textId="77777777" w:rsidR="0019607A" w:rsidRDefault="00196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8847" w14:textId="77777777" w:rsidR="00651D8B" w:rsidRDefault="00651D8B">
      <w:r>
        <w:separator/>
      </w:r>
    </w:p>
  </w:footnote>
  <w:footnote w:type="continuationSeparator" w:id="0">
    <w:p w14:paraId="313A97AB" w14:textId="77777777" w:rsidR="00651D8B" w:rsidRDefault="0065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E7E9" w14:textId="723CC9AD" w:rsidR="0019607A" w:rsidRDefault="00651D8B">
    <w:pPr>
      <w:pStyle w:val="Header"/>
    </w:pPr>
    <w:r>
      <w:rPr>
        <w:noProof/>
      </w:rPr>
      <w:pict w14:anchorId="2111F3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092148" o:spid="_x0000_s2051" type="#_x0000_t136" alt="" style="position:absolute;margin-left:0;margin-top:0;width:479.65pt;height:159.8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17365d [2415]" stroked="f">
          <v:fill opacity="7864f"/>
          <v:textpath style="font-family:&quot;Bath Spa New Roman Titl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C39FA" w14:textId="3F4FEA22" w:rsidR="0019607A" w:rsidRDefault="00651D8B">
    <w:pPr>
      <w:pStyle w:val="Header"/>
    </w:pPr>
    <w:r>
      <w:rPr>
        <w:noProof/>
      </w:rPr>
      <w:pict w14:anchorId="77D5FF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092149" o:spid="_x0000_s2050" type="#_x0000_t136" alt="" style="position:absolute;margin-left:0;margin-top:0;width:479.65pt;height:159.8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17365d [2415]" stroked="f">
          <v:fill opacity="7864f"/>
          <v:textpath style="font-family:&quot;Bath Spa New Roman Title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7CBC" w14:textId="4B5868E3" w:rsidR="0019607A" w:rsidRDefault="00651D8B">
    <w:pPr>
      <w:pStyle w:val="Header"/>
    </w:pPr>
    <w:r>
      <w:rPr>
        <w:noProof/>
      </w:rPr>
      <w:pict w14:anchorId="19BCA3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092147" o:spid="_x0000_s2049" type="#_x0000_t136" alt="" style="position:absolute;margin-left:0;margin-top:0;width:479.65pt;height:159.8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17365d [2415]" stroked="f">
          <v:fill opacity="7864f"/>
          <v:textpath style="font-family:&quot;Bath Spa New Roman Title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40"/>
    <w:rsid w:val="00072768"/>
    <w:rsid w:val="0019607A"/>
    <w:rsid w:val="002C3ADA"/>
    <w:rsid w:val="003D586F"/>
    <w:rsid w:val="00560540"/>
    <w:rsid w:val="00586327"/>
    <w:rsid w:val="005A7FB1"/>
    <w:rsid w:val="00651D8B"/>
    <w:rsid w:val="00806BBC"/>
    <w:rsid w:val="00A51A0D"/>
    <w:rsid w:val="00A6684E"/>
    <w:rsid w:val="00BB1D9D"/>
    <w:rsid w:val="00C96BDC"/>
    <w:rsid w:val="00CE3822"/>
    <w:rsid w:val="00D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84B35F"/>
  <w15:docId w15:val="{DABAF698-7A0D-F449-B75F-3C990060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3AD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768"/>
  </w:style>
  <w:style w:type="paragraph" w:styleId="Footer">
    <w:name w:val="footer"/>
    <w:basedOn w:val="Normal"/>
    <w:link w:val="FooterChar"/>
    <w:uiPriority w:val="99"/>
    <w:unhideWhenUsed/>
    <w:rsid w:val="00072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Simpson</dc:creator>
  <cp:lastModifiedBy>Microsoft Office User</cp:lastModifiedBy>
  <cp:revision>4</cp:revision>
  <dcterms:created xsi:type="dcterms:W3CDTF">2020-09-07T10:08:00Z</dcterms:created>
  <dcterms:modified xsi:type="dcterms:W3CDTF">2020-09-14T09:15:00Z</dcterms:modified>
</cp:coreProperties>
</file>